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234E" w14:textId="66293E8B" w:rsidR="00CA4DC8" w:rsidRDefault="00125988" w:rsidP="00DF4713">
      <w:pPr>
        <w:pStyle w:val="Sansinterligne"/>
        <w:jc w:val="center"/>
        <w:rPr>
          <w:rFonts w:ascii="Aptos" w:hAnsi="Aptos"/>
          <w:b/>
          <w:bCs/>
          <w:color w:val="1F4429" w:themeColor="accent5" w:themeShade="80"/>
          <w:sz w:val="32"/>
          <w:szCs w:val="32"/>
        </w:rPr>
      </w:pPr>
      <w:r w:rsidRPr="00125988">
        <w:rPr>
          <w:noProof/>
        </w:rPr>
        <w:drawing>
          <wp:inline distT="0" distB="0" distL="0" distR="0" wp14:anchorId="2F5FF0F7" wp14:editId="6D40B33E">
            <wp:extent cx="3573780" cy="891540"/>
            <wp:effectExtent l="0" t="0" r="7620" b="3810"/>
            <wp:docPr id="6634417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3780" cy="891540"/>
                    </a:xfrm>
                    <a:prstGeom prst="rect">
                      <a:avLst/>
                    </a:prstGeom>
                    <a:noFill/>
                    <a:ln>
                      <a:noFill/>
                    </a:ln>
                  </pic:spPr>
                </pic:pic>
              </a:graphicData>
            </a:graphic>
          </wp:inline>
        </w:drawing>
      </w:r>
    </w:p>
    <w:p w14:paraId="77A3E67F" w14:textId="77777777" w:rsidR="006B7953" w:rsidRDefault="006B7953" w:rsidP="0044571D">
      <w:pPr>
        <w:pStyle w:val="Sansinterligne"/>
        <w:jc w:val="center"/>
        <w:rPr>
          <w:rFonts w:ascii="Aptos" w:hAnsi="Aptos"/>
          <w:b/>
          <w:bCs/>
          <w:color w:val="1F4429" w:themeColor="accent5" w:themeShade="80"/>
          <w:sz w:val="32"/>
          <w:szCs w:val="32"/>
        </w:rPr>
      </w:pPr>
    </w:p>
    <w:p w14:paraId="332779B7" w14:textId="448ECE99" w:rsidR="008E3792" w:rsidRDefault="009E1991" w:rsidP="0044571D">
      <w:pPr>
        <w:pStyle w:val="Sansinterligne"/>
        <w:jc w:val="center"/>
        <w:rPr>
          <w:rFonts w:ascii="Aptos" w:hAnsi="Aptos"/>
          <w:b/>
          <w:bCs/>
          <w:color w:val="1F4429" w:themeColor="accent5" w:themeShade="80"/>
          <w:sz w:val="32"/>
          <w:szCs w:val="32"/>
        </w:rPr>
      </w:pPr>
      <w:r w:rsidRPr="0044571D">
        <w:rPr>
          <w:rFonts w:ascii="Aptos" w:hAnsi="Aptos"/>
          <w:b/>
          <w:bCs/>
          <w:color w:val="1F4429" w:themeColor="accent5" w:themeShade="80"/>
          <w:sz w:val="32"/>
          <w:szCs w:val="32"/>
        </w:rPr>
        <w:t>COFICERT CONFIRME LE MAINTIEN DU CERTIFICAT AML 30000 D</w:t>
      </w:r>
      <w:r>
        <w:rPr>
          <w:rFonts w:ascii="Aptos" w:hAnsi="Aptos"/>
          <w:b/>
          <w:bCs/>
          <w:color w:val="1F4429" w:themeColor="accent5" w:themeShade="80"/>
          <w:sz w:val="32"/>
          <w:szCs w:val="32"/>
        </w:rPr>
        <w:t xml:space="preserve">E </w:t>
      </w:r>
    </w:p>
    <w:p w14:paraId="10B18D09" w14:textId="0466E260" w:rsidR="00F82916" w:rsidRPr="00264EBD" w:rsidRDefault="009E1991" w:rsidP="0044571D">
      <w:pPr>
        <w:pStyle w:val="Sansinterligne"/>
        <w:jc w:val="center"/>
        <w:rPr>
          <w:rFonts w:ascii="Aptos" w:hAnsi="Aptos"/>
        </w:rPr>
      </w:pPr>
      <w:r w:rsidRPr="00811221">
        <w:rPr>
          <w:rFonts w:ascii="Aptos" w:hAnsi="Aptos"/>
          <w:b/>
          <w:bCs/>
          <w:color w:val="1F4429" w:themeColor="accent5" w:themeShade="80"/>
          <w:sz w:val="32"/>
          <w:szCs w:val="32"/>
        </w:rPr>
        <w:t>ENDA TAMWEEL</w:t>
      </w:r>
      <w:r>
        <w:rPr>
          <w:rFonts w:ascii="Aptos" w:hAnsi="Aptos"/>
          <w:b/>
          <w:bCs/>
          <w:color w:val="1F4429" w:themeColor="accent5" w:themeShade="80"/>
          <w:sz w:val="32"/>
          <w:szCs w:val="32"/>
        </w:rPr>
        <w:t xml:space="preserve"> </w:t>
      </w:r>
      <w:r w:rsidRPr="0044571D">
        <w:rPr>
          <w:rFonts w:ascii="Aptos" w:hAnsi="Aptos"/>
          <w:b/>
          <w:bCs/>
          <w:color w:val="1F4429" w:themeColor="accent5" w:themeShade="80"/>
          <w:sz w:val="32"/>
          <w:szCs w:val="32"/>
        </w:rPr>
        <w:t>POUR UN NOUVEAU CYCLE</w:t>
      </w:r>
      <w:r>
        <w:rPr>
          <w:rFonts w:ascii="Aptos" w:hAnsi="Aptos"/>
          <w:b/>
          <w:bCs/>
          <w:color w:val="1F4429" w:themeColor="accent5" w:themeShade="80"/>
          <w:sz w:val="32"/>
          <w:szCs w:val="32"/>
        </w:rPr>
        <w:t xml:space="preserve"> DE CERTIFICATION</w:t>
      </w:r>
    </w:p>
    <w:p w14:paraId="1B086E6E" w14:textId="77777777" w:rsidR="00271C8B" w:rsidRDefault="00271C8B" w:rsidP="007D0512">
      <w:pPr>
        <w:pStyle w:val="Sansinterligne"/>
        <w:jc w:val="both"/>
        <w:rPr>
          <w:rFonts w:ascii="Aptos" w:hAnsi="Aptos"/>
          <w:b/>
          <w:bCs/>
        </w:rPr>
      </w:pPr>
    </w:p>
    <w:p w14:paraId="73786712" w14:textId="481FA3A7" w:rsidR="003C4ED7" w:rsidRDefault="003C4ED7" w:rsidP="003C4ED7">
      <w:pPr>
        <w:pStyle w:val="Sansinterligne"/>
        <w:jc w:val="center"/>
        <w:rPr>
          <w:rFonts w:ascii="Aptos" w:hAnsi="Aptos"/>
          <w:b/>
          <w:bCs/>
        </w:rPr>
      </w:pPr>
      <w:r w:rsidRPr="00A6162C">
        <w:rPr>
          <w:rFonts w:ascii="Aptos" w:hAnsi="Aptos"/>
          <w:noProof/>
        </w:rPr>
        <w:drawing>
          <wp:inline distT="0" distB="0" distL="0" distR="0" wp14:anchorId="00D61856" wp14:editId="1E754B14">
            <wp:extent cx="5562600" cy="3451860"/>
            <wp:effectExtent l="0" t="0" r="0" b="0"/>
            <wp:docPr id="799837" name="Image 1" descr="Une image contenant habits, personne, homme, cost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37" name="Image 1" descr="Une image contenant habits, personne, homme, costume&#10;&#10;Description générée automatiquement"/>
                    <pic:cNvPicPr/>
                  </pic:nvPicPr>
                  <pic:blipFill rotWithShape="1">
                    <a:blip r:embed="rId7"/>
                    <a:srcRect t="4782" b="11908"/>
                    <a:stretch/>
                  </pic:blipFill>
                  <pic:spPr bwMode="auto">
                    <a:xfrm>
                      <a:off x="0" y="0"/>
                      <a:ext cx="5563376" cy="3452342"/>
                    </a:xfrm>
                    <a:prstGeom prst="rect">
                      <a:avLst/>
                    </a:prstGeom>
                    <a:ln>
                      <a:noFill/>
                    </a:ln>
                    <a:extLst>
                      <a:ext uri="{53640926-AAD7-44D8-BBD7-CCE9431645EC}">
                        <a14:shadowObscured xmlns:a14="http://schemas.microsoft.com/office/drawing/2010/main"/>
                      </a:ext>
                    </a:extLst>
                  </pic:spPr>
                </pic:pic>
              </a:graphicData>
            </a:graphic>
          </wp:inline>
        </w:drawing>
      </w:r>
    </w:p>
    <w:p w14:paraId="26ACA416" w14:textId="77777777" w:rsidR="003C4ED7" w:rsidRDefault="003C4ED7" w:rsidP="007D0512">
      <w:pPr>
        <w:pStyle w:val="Sansinterligne"/>
        <w:jc w:val="both"/>
        <w:rPr>
          <w:rFonts w:ascii="Aptos" w:hAnsi="Aptos"/>
          <w:b/>
          <w:bCs/>
        </w:rPr>
      </w:pPr>
    </w:p>
    <w:p w14:paraId="285DBD4E" w14:textId="77777777" w:rsidR="00782423" w:rsidRDefault="00782423" w:rsidP="003C4ED7">
      <w:pPr>
        <w:pStyle w:val="Sansinterligne"/>
        <w:jc w:val="both"/>
        <w:rPr>
          <w:rFonts w:ascii="Aptos" w:hAnsi="Aptos"/>
          <w:b/>
          <w:bCs/>
        </w:rPr>
      </w:pPr>
    </w:p>
    <w:p w14:paraId="19A6FF79" w14:textId="6DC3DAD2" w:rsidR="00782423" w:rsidRPr="0023148A" w:rsidRDefault="005B04C1" w:rsidP="003C4ED7">
      <w:pPr>
        <w:pStyle w:val="Sansinterligne"/>
        <w:jc w:val="both"/>
        <w:rPr>
          <w:rFonts w:ascii="Aptos" w:hAnsi="Aptos"/>
          <w:i/>
          <w:iCs/>
          <w:sz w:val="20"/>
          <w:szCs w:val="20"/>
        </w:rPr>
      </w:pPr>
      <w:r w:rsidRPr="0023148A">
        <w:rPr>
          <w:rFonts w:ascii="Aptos" w:hAnsi="Aptos"/>
          <w:i/>
          <w:iCs/>
          <w:sz w:val="20"/>
          <w:szCs w:val="20"/>
        </w:rPr>
        <w:t xml:space="preserve">Tunis, le </w:t>
      </w:r>
      <w:r w:rsidR="00C23C7F">
        <w:rPr>
          <w:rFonts w:ascii="Aptos" w:hAnsi="Aptos"/>
          <w:i/>
          <w:iCs/>
          <w:sz w:val="20"/>
          <w:szCs w:val="20"/>
        </w:rPr>
        <w:t>15</w:t>
      </w:r>
      <w:r w:rsidR="00782423" w:rsidRPr="0023148A">
        <w:rPr>
          <w:rFonts w:ascii="Aptos" w:hAnsi="Aptos"/>
          <w:i/>
          <w:iCs/>
          <w:sz w:val="20"/>
          <w:szCs w:val="20"/>
        </w:rPr>
        <w:t xml:space="preserve"> juillet 2024</w:t>
      </w:r>
      <w:r w:rsidR="0023148A" w:rsidRPr="0023148A">
        <w:rPr>
          <w:rFonts w:ascii="Aptos" w:hAnsi="Aptos"/>
          <w:i/>
          <w:iCs/>
          <w:sz w:val="20"/>
          <w:szCs w:val="20"/>
        </w:rPr>
        <w:t>,</w:t>
      </w:r>
    </w:p>
    <w:p w14:paraId="38F3E4A0" w14:textId="77777777" w:rsidR="00782423" w:rsidRDefault="00782423" w:rsidP="003C4ED7">
      <w:pPr>
        <w:pStyle w:val="Sansinterligne"/>
        <w:jc w:val="both"/>
        <w:rPr>
          <w:rFonts w:ascii="Aptos" w:hAnsi="Aptos"/>
          <w:b/>
          <w:bCs/>
        </w:rPr>
      </w:pPr>
    </w:p>
    <w:p w14:paraId="0E42E779" w14:textId="779E469C" w:rsidR="00005526" w:rsidRPr="001E2605" w:rsidRDefault="005B04C1" w:rsidP="003C4ED7">
      <w:pPr>
        <w:pStyle w:val="Sansinterligne"/>
        <w:jc w:val="both"/>
        <w:rPr>
          <w:rFonts w:ascii="Aptos" w:hAnsi="Aptos"/>
        </w:rPr>
      </w:pPr>
      <w:r w:rsidRPr="005B04C1">
        <w:rPr>
          <w:rFonts w:ascii="Aptos" w:hAnsi="Aptos"/>
          <w:b/>
          <w:bCs/>
        </w:rPr>
        <w:t xml:space="preserve">COFICERT annonce le maintien </w:t>
      </w:r>
      <w:r w:rsidR="00B64C87" w:rsidRPr="005B04C1">
        <w:rPr>
          <w:rFonts w:ascii="Aptos" w:hAnsi="Aptos"/>
          <w:b/>
          <w:bCs/>
        </w:rPr>
        <w:t xml:space="preserve">de </w:t>
      </w:r>
      <w:r w:rsidR="00B64C87">
        <w:rPr>
          <w:rFonts w:ascii="Aptos" w:hAnsi="Aptos"/>
          <w:b/>
          <w:bCs/>
        </w:rPr>
        <w:t>l</w:t>
      </w:r>
      <w:r w:rsidR="00B64C87" w:rsidRPr="005B04C1">
        <w:rPr>
          <w:rFonts w:ascii="Aptos" w:hAnsi="Aptos"/>
          <w:b/>
          <w:bCs/>
        </w:rPr>
        <w:t>a certification AML 30000</w:t>
      </w:r>
      <w:r w:rsidR="00B64C87">
        <w:rPr>
          <w:rFonts w:ascii="Aptos" w:hAnsi="Aptos"/>
          <w:b/>
          <w:bCs/>
        </w:rPr>
        <w:t xml:space="preserve"> </w:t>
      </w:r>
      <w:r w:rsidRPr="005B04C1">
        <w:rPr>
          <w:rFonts w:ascii="Aptos" w:hAnsi="Aptos"/>
          <w:b/>
          <w:bCs/>
        </w:rPr>
        <w:t xml:space="preserve">de </w:t>
      </w:r>
      <w:r w:rsidR="001E5044" w:rsidRPr="001E5044">
        <w:rPr>
          <w:rFonts w:ascii="Aptos" w:hAnsi="Aptos"/>
          <w:b/>
          <w:bCs/>
        </w:rPr>
        <w:t xml:space="preserve">l’institution </w:t>
      </w:r>
      <w:r w:rsidR="00EF0EBD">
        <w:rPr>
          <w:rFonts w:ascii="Aptos" w:hAnsi="Aptos"/>
          <w:b/>
          <w:bCs/>
        </w:rPr>
        <w:t xml:space="preserve">de microfinance </w:t>
      </w:r>
      <w:r w:rsidR="001E5044" w:rsidRPr="001E5044">
        <w:rPr>
          <w:rFonts w:ascii="Aptos" w:hAnsi="Aptos"/>
          <w:b/>
          <w:bCs/>
        </w:rPr>
        <w:t xml:space="preserve">ENDA </w:t>
      </w:r>
      <w:proofErr w:type="spellStart"/>
      <w:r w:rsidR="001E5044" w:rsidRPr="001E5044">
        <w:rPr>
          <w:rFonts w:ascii="Aptos" w:hAnsi="Aptos"/>
          <w:b/>
          <w:bCs/>
        </w:rPr>
        <w:t>Tamweel</w:t>
      </w:r>
      <w:proofErr w:type="spellEnd"/>
      <w:r w:rsidR="00B64C87">
        <w:rPr>
          <w:rFonts w:ascii="Aptos" w:hAnsi="Aptos"/>
          <w:b/>
          <w:bCs/>
        </w:rPr>
        <w:t xml:space="preserve">. AML 30000 est la </w:t>
      </w:r>
      <w:r w:rsidRPr="005B04C1">
        <w:rPr>
          <w:rFonts w:ascii="Aptos" w:hAnsi="Aptos"/>
          <w:b/>
          <w:bCs/>
        </w:rPr>
        <w:t>norme internationale</w:t>
      </w:r>
      <w:r w:rsidR="00B64C87">
        <w:rPr>
          <w:rFonts w:ascii="Aptos" w:hAnsi="Aptos"/>
          <w:b/>
          <w:bCs/>
        </w:rPr>
        <w:t xml:space="preserve"> </w:t>
      </w:r>
      <w:r w:rsidRPr="005B04C1">
        <w:rPr>
          <w:rFonts w:ascii="Aptos" w:hAnsi="Aptos"/>
          <w:b/>
          <w:bCs/>
        </w:rPr>
        <w:t>dédiée à la lutte contre le blanchiment d’argent, le financement du terrorisme et la prolifération des armes de destruction massive (LBA/FTP).</w:t>
      </w:r>
    </w:p>
    <w:p w14:paraId="254949A3" w14:textId="77777777" w:rsidR="00136F29" w:rsidRDefault="00136F29" w:rsidP="00271C8B">
      <w:pPr>
        <w:pStyle w:val="Sansinterligne"/>
        <w:jc w:val="both"/>
        <w:rPr>
          <w:rFonts w:ascii="Aptos" w:hAnsi="Aptos"/>
        </w:rPr>
      </w:pPr>
    </w:p>
    <w:p w14:paraId="46695E81" w14:textId="4058D205" w:rsidR="003965E4" w:rsidRDefault="00EF6DA7" w:rsidP="003C4ED7">
      <w:pPr>
        <w:pStyle w:val="Sansinterligne"/>
        <w:jc w:val="both"/>
        <w:rPr>
          <w:rFonts w:ascii="Aptos" w:hAnsi="Aptos"/>
        </w:rPr>
      </w:pPr>
      <w:r>
        <w:rPr>
          <w:rFonts w:ascii="Aptos" w:hAnsi="Aptos"/>
        </w:rPr>
        <w:t>L’</w:t>
      </w:r>
      <w:r w:rsidR="00811221" w:rsidRPr="00811221">
        <w:rPr>
          <w:rFonts w:ascii="Aptos" w:hAnsi="Aptos"/>
        </w:rPr>
        <w:t xml:space="preserve">institution ENDA </w:t>
      </w:r>
      <w:proofErr w:type="spellStart"/>
      <w:r w:rsidR="00811221" w:rsidRPr="00811221">
        <w:rPr>
          <w:rFonts w:ascii="Aptos" w:hAnsi="Aptos"/>
        </w:rPr>
        <w:t>Tamweel</w:t>
      </w:r>
      <w:proofErr w:type="spellEnd"/>
      <w:r w:rsidR="00811221" w:rsidRPr="00811221">
        <w:rPr>
          <w:rFonts w:ascii="Aptos" w:hAnsi="Aptos"/>
        </w:rPr>
        <w:t xml:space="preserve"> </w:t>
      </w:r>
      <w:r w:rsidR="00AA34C5">
        <w:rPr>
          <w:rFonts w:ascii="Aptos" w:hAnsi="Aptos"/>
        </w:rPr>
        <w:t xml:space="preserve">voit </w:t>
      </w:r>
      <w:r w:rsidR="0086630A" w:rsidRPr="0086630A">
        <w:rPr>
          <w:rFonts w:ascii="Aptos" w:hAnsi="Aptos"/>
        </w:rPr>
        <w:t xml:space="preserve">sa certification à </w:t>
      </w:r>
      <w:r w:rsidR="003C4ED7">
        <w:rPr>
          <w:rFonts w:ascii="Aptos" w:hAnsi="Aptos"/>
        </w:rPr>
        <w:t xml:space="preserve">la </w:t>
      </w:r>
      <w:r w:rsidR="0086630A" w:rsidRPr="0086630A">
        <w:rPr>
          <w:rFonts w:ascii="Aptos" w:hAnsi="Aptos"/>
        </w:rPr>
        <w:t xml:space="preserve">norme </w:t>
      </w:r>
      <w:r w:rsidR="00EF0EBD">
        <w:rPr>
          <w:rFonts w:ascii="Aptos" w:hAnsi="Aptos"/>
        </w:rPr>
        <w:t xml:space="preserve">AML 30000 </w:t>
      </w:r>
      <w:r w:rsidR="00AA34C5">
        <w:rPr>
          <w:rFonts w:ascii="Aptos" w:hAnsi="Aptos"/>
        </w:rPr>
        <w:t>reconduite</w:t>
      </w:r>
      <w:r w:rsidR="0086630A" w:rsidRPr="0086630A">
        <w:rPr>
          <w:rFonts w:ascii="Aptos" w:hAnsi="Aptos"/>
        </w:rPr>
        <w:t>.</w:t>
      </w:r>
      <w:r w:rsidR="003C4ED7">
        <w:rPr>
          <w:rFonts w:ascii="Aptos" w:hAnsi="Aptos"/>
        </w:rPr>
        <w:t xml:space="preserve"> </w:t>
      </w:r>
      <w:r w:rsidR="00AA34C5">
        <w:rPr>
          <w:rFonts w:ascii="Aptos" w:hAnsi="Aptos"/>
        </w:rPr>
        <w:t>La Norme diffusée et régulée par l’IGSF, a été d</w:t>
      </w:r>
      <w:r w:rsidR="00BF21DD" w:rsidRPr="00BF21DD">
        <w:rPr>
          <w:rFonts w:ascii="Aptos" w:hAnsi="Aptos"/>
        </w:rPr>
        <w:t>élivrée</w:t>
      </w:r>
      <w:r w:rsidR="00AA34C5">
        <w:rPr>
          <w:rFonts w:ascii="Aptos" w:hAnsi="Aptos"/>
        </w:rPr>
        <w:t xml:space="preserve"> à ENDA</w:t>
      </w:r>
      <w:r w:rsidR="00BF21DD" w:rsidRPr="00BF21DD">
        <w:rPr>
          <w:rFonts w:ascii="Aptos" w:hAnsi="Aptos"/>
        </w:rPr>
        <w:t xml:space="preserve"> par l’organisme de certification COFICERT</w:t>
      </w:r>
      <w:r w:rsidR="003C4ED7">
        <w:rPr>
          <w:rFonts w:ascii="Aptos" w:hAnsi="Aptos"/>
        </w:rPr>
        <w:t>,</w:t>
      </w:r>
      <w:r w:rsidR="00BF21DD" w:rsidRPr="00BF21DD">
        <w:rPr>
          <w:rFonts w:ascii="Aptos" w:hAnsi="Aptos"/>
        </w:rPr>
        <w:t xml:space="preserve"> suite à l’évaluation de son système LBA/FTP</w:t>
      </w:r>
      <w:r w:rsidR="00AA34C5">
        <w:rPr>
          <w:rFonts w:ascii="Aptos" w:hAnsi="Aptos"/>
        </w:rPr>
        <w:t>. L</w:t>
      </w:r>
      <w:r w:rsidR="00BF21DD" w:rsidRPr="00BF21DD">
        <w:rPr>
          <w:rFonts w:ascii="Aptos" w:hAnsi="Aptos"/>
        </w:rPr>
        <w:t xml:space="preserve">e maintien de la certification AML 30000 atteste de la conformité continue de </w:t>
      </w:r>
      <w:r w:rsidR="00600DAC">
        <w:rPr>
          <w:rFonts w:ascii="Aptos" w:hAnsi="Aptos"/>
        </w:rPr>
        <w:t>ENDA</w:t>
      </w:r>
      <w:r w:rsidR="00BF21DD" w:rsidRPr="00BF21DD">
        <w:rPr>
          <w:rFonts w:ascii="Aptos" w:hAnsi="Aptos"/>
        </w:rPr>
        <w:t xml:space="preserve"> </w:t>
      </w:r>
      <w:proofErr w:type="spellStart"/>
      <w:r w:rsidR="00365C5D">
        <w:rPr>
          <w:rFonts w:ascii="Aptos" w:hAnsi="Aptos"/>
        </w:rPr>
        <w:t>Tamweel</w:t>
      </w:r>
      <w:proofErr w:type="spellEnd"/>
      <w:r w:rsidR="00365C5D">
        <w:rPr>
          <w:rFonts w:ascii="Aptos" w:hAnsi="Aptos"/>
        </w:rPr>
        <w:t xml:space="preserve"> </w:t>
      </w:r>
      <w:r w:rsidR="00BF21DD" w:rsidRPr="00BF21DD">
        <w:rPr>
          <w:rFonts w:ascii="Aptos" w:hAnsi="Aptos"/>
        </w:rPr>
        <w:t xml:space="preserve">aux exigences en matière de maîtrise et de gestion des risques LBA/FTP. </w:t>
      </w:r>
    </w:p>
    <w:p w14:paraId="28448500" w14:textId="77777777" w:rsidR="00AA34C5" w:rsidRDefault="00AA34C5" w:rsidP="003C4ED7">
      <w:pPr>
        <w:pStyle w:val="Sansinterligne"/>
        <w:jc w:val="both"/>
        <w:rPr>
          <w:rFonts w:ascii="Aptos" w:hAnsi="Aptos"/>
        </w:rPr>
      </w:pPr>
    </w:p>
    <w:p w14:paraId="7B2BD601" w14:textId="69A634CD" w:rsidR="00271C8B" w:rsidRDefault="001C3FA7" w:rsidP="003C4ED7">
      <w:pPr>
        <w:pStyle w:val="Sansinterligne"/>
        <w:jc w:val="both"/>
        <w:rPr>
          <w:rFonts w:ascii="Aptos" w:hAnsi="Aptos"/>
        </w:rPr>
      </w:pPr>
      <w:r>
        <w:rPr>
          <w:rFonts w:ascii="Aptos" w:hAnsi="Aptos"/>
        </w:rPr>
        <w:t xml:space="preserve">A l’occasion d’une cérémonie organisée au siège de l’institution, Madame </w:t>
      </w:r>
      <w:proofErr w:type="spellStart"/>
      <w:r>
        <w:rPr>
          <w:rFonts w:ascii="Aptos" w:hAnsi="Aptos"/>
        </w:rPr>
        <w:t>Essma</w:t>
      </w:r>
      <w:proofErr w:type="spellEnd"/>
      <w:r>
        <w:rPr>
          <w:rFonts w:ascii="Aptos" w:hAnsi="Aptos"/>
        </w:rPr>
        <w:t xml:space="preserve"> Ben Hamida, fondatrice de </w:t>
      </w:r>
      <w:r w:rsidR="00C6217B">
        <w:rPr>
          <w:rFonts w:ascii="Aptos" w:hAnsi="Aptos"/>
        </w:rPr>
        <w:t xml:space="preserve">ENDA </w:t>
      </w:r>
      <w:proofErr w:type="spellStart"/>
      <w:r w:rsidR="00C6217B">
        <w:rPr>
          <w:rFonts w:ascii="Aptos" w:hAnsi="Aptos"/>
        </w:rPr>
        <w:t>Tamweel</w:t>
      </w:r>
      <w:proofErr w:type="spellEnd"/>
      <w:r>
        <w:rPr>
          <w:rFonts w:ascii="Aptos" w:hAnsi="Aptos"/>
        </w:rPr>
        <w:t xml:space="preserve">, a reçu </w:t>
      </w:r>
      <w:r w:rsidR="00662832">
        <w:rPr>
          <w:rFonts w:ascii="Aptos" w:hAnsi="Aptos"/>
        </w:rPr>
        <w:t xml:space="preserve">ledit certificat </w:t>
      </w:r>
      <w:r>
        <w:rPr>
          <w:rFonts w:ascii="Aptos" w:hAnsi="Aptos"/>
        </w:rPr>
        <w:t>de la part de M</w:t>
      </w:r>
      <w:r w:rsidR="003965E4">
        <w:rPr>
          <w:rFonts w:ascii="Aptos" w:hAnsi="Aptos"/>
        </w:rPr>
        <w:t>onsieur</w:t>
      </w:r>
      <w:r>
        <w:rPr>
          <w:rFonts w:ascii="Aptos" w:hAnsi="Aptos"/>
        </w:rPr>
        <w:t xml:space="preserve"> Souheil Skander</w:t>
      </w:r>
      <w:r w:rsidR="00662832">
        <w:rPr>
          <w:rFonts w:ascii="Aptos" w:hAnsi="Aptos"/>
        </w:rPr>
        <w:t>,</w:t>
      </w:r>
      <w:r>
        <w:rPr>
          <w:rFonts w:ascii="Aptos" w:hAnsi="Aptos"/>
        </w:rPr>
        <w:t xml:space="preserve"> </w:t>
      </w:r>
      <w:r w:rsidR="00C6217B">
        <w:rPr>
          <w:rFonts w:ascii="Aptos" w:hAnsi="Aptos"/>
        </w:rPr>
        <w:t>accompagné d</w:t>
      </w:r>
      <w:r w:rsidR="003965E4">
        <w:rPr>
          <w:rFonts w:ascii="Aptos" w:hAnsi="Aptos"/>
        </w:rPr>
        <w:t>e</w:t>
      </w:r>
      <w:r>
        <w:rPr>
          <w:rFonts w:ascii="Aptos" w:hAnsi="Aptos"/>
        </w:rPr>
        <w:t xml:space="preserve"> </w:t>
      </w:r>
      <w:r w:rsidR="003965E4">
        <w:rPr>
          <w:rFonts w:ascii="Aptos" w:hAnsi="Aptos"/>
        </w:rPr>
        <w:t xml:space="preserve">membres </w:t>
      </w:r>
      <w:r>
        <w:rPr>
          <w:rFonts w:ascii="Aptos" w:hAnsi="Aptos"/>
        </w:rPr>
        <w:t>de COFICER</w:t>
      </w:r>
      <w:r w:rsidR="00662832">
        <w:rPr>
          <w:rFonts w:ascii="Aptos" w:hAnsi="Aptos"/>
        </w:rPr>
        <w:t>T</w:t>
      </w:r>
      <w:r>
        <w:rPr>
          <w:rFonts w:ascii="Aptos" w:hAnsi="Aptos"/>
        </w:rPr>
        <w:t xml:space="preserve">. </w:t>
      </w:r>
      <w:r w:rsidR="00BF21DD" w:rsidRPr="00BF21DD">
        <w:rPr>
          <w:rFonts w:ascii="Aptos" w:hAnsi="Aptos"/>
        </w:rPr>
        <w:t xml:space="preserve">La </w:t>
      </w:r>
      <w:r w:rsidR="003965E4">
        <w:rPr>
          <w:rFonts w:ascii="Aptos" w:hAnsi="Aptos"/>
        </w:rPr>
        <w:t>validation de la conformité de l’établissement à la norme AML 30000,</w:t>
      </w:r>
      <w:r w:rsidR="00BF21DD" w:rsidRPr="00BF21DD">
        <w:rPr>
          <w:rFonts w:ascii="Aptos" w:hAnsi="Aptos"/>
        </w:rPr>
        <w:t xml:space="preserve"> témoigne de l’existence d’un dispositif et de son effectivité</w:t>
      </w:r>
      <w:r w:rsidR="003965E4">
        <w:rPr>
          <w:rFonts w:ascii="Aptos" w:hAnsi="Aptos"/>
        </w:rPr>
        <w:t>,</w:t>
      </w:r>
      <w:r w:rsidR="00BF21DD" w:rsidRPr="00BF21DD">
        <w:rPr>
          <w:rFonts w:ascii="Aptos" w:hAnsi="Aptos"/>
        </w:rPr>
        <w:t xml:space="preserve"> en matière de lutte contre le blanchiment d’argent et le financement du terrorisme, conformément aux exigences internationales.</w:t>
      </w:r>
      <w:r>
        <w:rPr>
          <w:rFonts w:ascii="Aptos" w:hAnsi="Aptos"/>
        </w:rPr>
        <w:t xml:space="preserve"> </w:t>
      </w:r>
    </w:p>
    <w:p w14:paraId="0BE8BB21" w14:textId="77777777" w:rsidR="0003140E" w:rsidRDefault="0003140E" w:rsidP="00271C8B">
      <w:pPr>
        <w:pStyle w:val="Sansinterligne"/>
        <w:jc w:val="both"/>
        <w:rPr>
          <w:rFonts w:ascii="Aptos" w:hAnsi="Aptos"/>
        </w:rPr>
      </w:pPr>
    </w:p>
    <w:p w14:paraId="1C4DC970" w14:textId="27581A96" w:rsidR="001C3FA7" w:rsidRPr="001E2605" w:rsidRDefault="00821F84" w:rsidP="001C3FA7">
      <w:pPr>
        <w:pStyle w:val="Sansinterligne"/>
        <w:jc w:val="both"/>
        <w:rPr>
          <w:rFonts w:ascii="Aptos" w:hAnsi="Aptos"/>
        </w:rPr>
      </w:pPr>
      <w:r>
        <w:rPr>
          <w:rFonts w:ascii="Aptos" w:hAnsi="Aptos"/>
        </w:rPr>
        <w:t xml:space="preserve">ENDA </w:t>
      </w:r>
      <w:proofErr w:type="spellStart"/>
      <w:r>
        <w:rPr>
          <w:rFonts w:ascii="Aptos" w:hAnsi="Aptos"/>
        </w:rPr>
        <w:t>T</w:t>
      </w:r>
      <w:r w:rsidR="0054087E">
        <w:rPr>
          <w:rFonts w:ascii="Aptos" w:hAnsi="Aptos"/>
        </w:rPr>
        <w:t>amweel</w:t>
      </w:r>
      <w:proofErr w:type="spellEnd"/>
      <w:r w:rsidR="0054087E">
        <w:rPr>
          <w:rFonts w:ascii="Aptos" w:hAnsi="Aptos"/>
        </w:rPr>
        <w:t xml:space="preserve"> a obtenu son premier certificat AML 30000 en janvier 2021, s</w:t>
      </w:r>
      <w:r w:rsidR="00927237" w:rsidRPr="00927237">
        <w:rPr>
          <w:rFonts w:ascii="Aptos" w:hAnsi="Aptos"/>
        </w:rPr>
        <w:t>uite à un projet initié par l’Union Européenne</w:t>
      </w:r>
      <w:r w:rsidR="00F90C8F">
        <w:rPr>
          <w:rFonts w:ascii="Aptos" w:hAnsi="Aptos"/>
        </w:rPr>
        <w:t xml:space="preserve"> et encadré par Expertise </w:t>
      </w:r>
      <w:r w:rsidR="00AC6221">
        <w:rPr>
          <w:rFonts w:ascii="Aptos" w:hAnsi="Aptos"/>
        </w:rPr>
        <w:t xml:space="preserve">France. </w:t>
      </w:r>
      <w:r w:rsidR="003965E4">
        <w:rPr>
          <w:rFonts w:ascii="Aptos" w:hAnsi="Aptos"/>
        </w:rPr>
        <w:t xml:space="preserve">En 2021, ENDA </w:t>
      </w:r>
      <w:proofErr w:type="spellStart"/>
      <w:r w:rsidR="003965E4">
        <w:rPr>
          <w:rFonts w:ascii="Aptos" w:hAnsi="Aptos"/>
        </w:rPr>
        <w:t>Tamweel</w:t>
      </w:r>
      <w:proofErr w:type="spellEnd"/>
      <w:r w:rsidR="003965E4">
        <w:rPr>
          <w:rFonts w:ascii="Aptos" w:hAnsi="Aptos"/>
        </w:rPr>
        <w:t xml:space="preserve"> était </w:t>
      </w:r>
      <w:r w:rsidR="00AC6221">
        <w:rPr>
          <w:rFonts w:ascii="Aptos" w:hAnsi="Aptos"/>
        </w:rPr>
        <w:t xml:space="preserve">la </w:t>
      </w:r>
      <w:r w:rsidR="00927237">
        <w:rPr>
          <w:rFonts w:ascii="Aptos" w:hAnsi="Aptos"/>
        </w:rPr>
        <w:t>p</w:t>
      </w:r>
      <w:r w:rsidR="00927237" w:rsidRPr="00927237">
        <w:rPr>
          <w:rFonts w:ascii="Aptos" w:hAnsi="Aptos"/>
        </w:rPr>
        <w:t xml:space="preserve">remière institution de </w:t>
      </w:r>
      <w:r w:rsidR="00AC6221" w:rsidRPr="00927237">
        <w:rPr>
          <w:rFonts w:ascii="Aptos" w:hAnsi="Aptos"/>
        </w:rPr>
        <w:t>microfinance</w:t>
      </w:r>
      <w:r w:rsidR="00927237" w:rsidRPr="00927237">
        <w:rPr>
          <w:rFonts w:ascii="Aptos" w:hAnsi="Aptos"/>
        </w:rPr>
        <w:t xml:space="preserve"> </w:t>
      </w:r>
      <w:r w:rsidR="003965E4">
        <w:rPr>
          <w:rFonts w:ascii="Aptos" w:hAnsi="Aptos"/>
        </w:rPr>
        <w:t xml:space="preserve">en Afrique et Moyen-Orient, </w:t>
      </w:r>
      <w:r w:rsidR="00927237" w:rsidRPr="00927237">
        <w:rPr>
          <w:rFonts w:ascii="Aptos" w:hAnsi="Aptos"/>
        </w:rPr>
        <w:t>à se voir décerner le certificat AML 30000</w:t>
      </w:r>
      <w:r w:rsidR="00D40E08">
        <w:rPr>
          <w:rFonts w:ascii="Aptos" w:hAnsi="Aptos"/>
        </w:rPr>
        <w:t>.</w:t>
      </w:r>
    </w:p>
    <w:p w14:paraId="1DD76C4E" w14:textId="77777777" w:rsidR="00DC57F3" w:rsidRDefault="00DC57F3" w:rsidP="00BA602F">
      <w:pPr>
        <w:pStyle w:val="Sansinterligne"/>
        <w:rPr>
          <w:rFonts w:ascii="Aptos" w:hAnsi="Aptos"/>
        </w:rPr>
      </w:pPr>
    </w:p>
    <w:p w14:paraId="1D9D39D6" w14:textId="77777777" w:rsidR="00125988" w:rsidRDefault="00125988" w:rsidP="001E5044">
      <w:pPr>
        <w:pStyle w:val="Sansinterligne"/>
        <w:jc w:val="both"/>
        <w:rPr>
          <w:rFonts w:ascii="Aptos" w:hAnsi="Aptos"/>
        </w:rPr>
      </w:pPr>
    </w:p>
    <w:p w14:paraId="7B037DAB" w14:textId="77777777" w:rsidR="00125988" w:rsidRDefault="00125988" w:rsidP="001E5044">
      <w:pPr>
        <w:pStyle w:val="Sansinterligne"/>
        <w:jc w:val="both"/>
        <w:rPr>
          <w:rFonts w:ascii="Aptos" w:hAnsi="Aptos"/>
        </w:rPr>
      </w:pPr>
    </w:p>
    <w:p w14:paraId="27856396" w14:textId="33C08037" w:rsidR="00BA602F" w:rsidRPr="00BA602F" w:rsidRDefault="00143623" w:rsidP="001E5044">
      <w:pPr>
        <w:pStyle w:val="Sansinterligne"/>
        <w:jc w:val="both"/>
        <w:rPr>
          <w:rFonts w:ascii="Aptos" w:hAnsi="Aptos"/>
        </w:rPr>
      </w:pPr>
      <w:r w:rsidRPr="00143623">
        <w:rPr>
          <w:rFonts w:ascii="Aptos" w:hAnsi="Aptos"/>
        </w:rPr>
        <w:t>Le standard AML 30000 renseigne sur la qualité du dispositif d’une institution financière ou d’une entreprise et profession non-financière, communément désignées comme assujetties, s’agissant des activités exposées au risque de blanchiment d’argent et de financement du terrorisme.</w:t>
      </w:r>
    </w:p>
    <w:p w14:paraId="26730FDB" w14:textId="434A33CE" w:rsidR="00271C8B" w:rsidRPr="001E2605" w:rsidRDefault="00BA602F" w:rsidP="001E5044">
      <w:pPr>
        <w:pStyle w:val="Sansinterligne"/>
        <w:jc w:val="both"/>
        <w:rPr>
          <w:rFonts w:ascii="Aptos" w:hAnsi="Aptos"/>
        </w:rPr>
      </w:pPr>
      <w:r w:rsidRPr="00BA602F">
        <w:rPr>
          <w:rFonts w:ascii="Aptos" w:hAnsi="Aptos"/>
        </w:rPr>
        <w:t>L’approche de certification au standard AML 30000 repose sur l’évaluation de l’entité selon deux axes : (a) la conformité technique des dispositifs LBA/FTP et (b) l’effectivité (ou l’efficacité) de ces derniers.</w:t>
      </w:r>
    </w:p>
    <w:p w14:paraId="05DF0E03" w14:textId="77777777" w:rsidR="00FC5CA7" w:rsidRDefault="00FC5CA7" w:rsidP="00FC5CA7">
      <w:pPr>
        <w:pStyle w:val="Sansinterligne"/>
        <w:jc w:val="both"/>
        <w:rPr>
          <w:rFonts w:ascii="Aptos" w:hAnsi="Aptos"/>
        </w:rPr>
      </w:pPr>
    </w:p>
    <w:p w14:paraId="129A2382" w14:textId="42E72F32" w:rsidR="006B3AE2" w:rsidRPr="001E2605" w:rsidRDefault="002B3537" w:rsidP="00207C76">
      <w:pPr>
        <w:pStyle w:val="Sansinterligne"/>
        <w:jc w:val="both"/>
        <w:rPr>
          <w:rFonts w:ascii="Aptos" w:hAnsi="Aptos"/>
        </w:rPr>
      </w:pPr>
      <w:r w:rsidRPr="002B3537">
        <w:rPr>
          <w:rFonts w:ascii="Aptos" w:hAnsi="Aptos"/>
        </w:rPr>
        <w:t xml:space="preserve">Dans un environnement </w:t>
      </w:r>
      <w:r w:rsidR="003965E4">
        <w:rPr>
          <w:rFonts w:ascii="Aptos" w:hAnsi="Aptos"/>
        </w:rPr>
        <w:t xml:space="preserve">réglementaire et financier </w:t>
      </w:r>
      <w:r w:rsidRPr="002B3537">
        <w:rPr>
          <w:rFonts w:ascii="Aptos" w:hAnsi="Aptos"/>
        </w:rPr>
        <w:t xml:space="preserve">en </w:t>
      </w:r>
      <w:r w:rsidR="00AA34C5">
        <w:rPr>
          <w:rFonts w:ascii="Aptos" w:hAnsi="Aptos"/>
        </w:rPr>
        <w:t>constante</w:t>
      </w:r>
      <w:r w:rsidRPr="002B3537">
        <w:rPr>
          <w:rFonts w:ascii="Aptos" w:hAnsi="Aptos"/>
        </w:rPr>
        <w:t xml:space="preserve"> évolution, le standard AML 30000 se présente comme un indice de référence pour les opérateurs économiques et financiers en quête de repères fiables et concrets en matière LBA/FTP.</w:t>
      </w:r>
      <w:r w:rsidR="00271C8B" w:rsidRPr="001E2605">
        <w:rPr>
          <w:rFonts w:ascii="Aptos" w:hAnsi="Aptos"/>
        </w:rPr>
        <w:t xml:space="preserve"> </w:t>
      </w:r>
      <w:r w:rsidR="005F76D1" w:rsidRPr="005F76D1">
        <w:rPr>
          <w:rFonts w:ascii="Aptos" w:hAnsi="Aptos"/>
        </w:rPr>
        <w:t>L’utilisation des marques de conformité AML 30000 contribue directement au processus de valorisation et d’amélioration de l’attractivité de l</w:t>
      </w:r>
      <w:r w:rsidR="00AD652F">
        <w:rPr>
          <w:rFonts w:ascii="Aptos" w:hAnsi="Aptos"/>
        </w:rPr>
        <w:t xml:space="preserve">’institution </w:t>
      </w:r>
      <w:r w:rsidR="00600DAC">
        <w:rPr>
          <w:rFonts w:ascii="Aptos" w:hAnsi="Aptos"/>
        </w:rPr>
        <w:t>ENDA</w:t>
      </w:r>
      <w:r w:rsidR="00AD652F" w:rsidRPr="00AD652F">
        <w:rPr>
          <w:rFonts w:ascii="Aptos" w:hAnsi="Aptos"/>
        </w:rPr>
        <w:t xml:space="preserve"> </w:t>
      </w:r>
      <w:proofErr w:type="spellStart"/>
      <w:r w:rsidR="00AD652F" w:rsidRPr="00653A1C">
        <w:rPr>
          <w:rFonts w:ascii="Aptos" w:hAnsi="Aptos"/>
        </w:rPr>
        <w:t>Tamweel</w:t>
      </w:r>
      <w:proofErr w:type="spellEnd"/>
      <w:r w:rsidR="005F76D1" w:rsidRPr="005F76D1">
        <w:rPr>
          <w:rFonts w:ascii="Aptos" w:hAnsi="Aptos"/>
        </w:rPr>
        <w:t>, en confortant le</w:t>
      </w:r>
      <w:r w:rsidR="00CC7188">
        <w:rPr>
          <w:rFonts w:ascii="Aptos" w:hAnsi="Aptos"/>
        </w:rPr>
        <w:t>s intéressés,</w:t>
      </w:r>
      <w:r w:rsidR="005F76D1" w:rsidRPr="005F76D1">
        <w:rPr>
          <w:rFonts w:ascii="Aptos" w:hAnsi="Aptos"/>
        </w:rPr>
        <w:t xml:space="preserve"> quant</w:t>
      </w:r>
      <w:r w:rsidR="00207C76">
        <w:rPr>
          <w:rFonts w:ascii="Aptos" w:hAnsi="Aptos"/>
        </w:rPr>
        <w:t xml:space="preserve"> aux moyens mis en œuvre par</w:t>
      </w:r>
      <w:r w:rsidR="008C7417">
        <w:rPr>
          <w:rFonts w:ascii="Aptos" w:hAnsi="Aptos"/>
        </w:rPr>
        <w:t xml:space="preserve"> E</w:t>
      </w:r>
      <w:r w:rsidR="003965E4">
        <w:rPr>
          <w:rFonts w:ascii="Aptos" w:hAnsi="Aptos"/>
        </w:rPr>
        <w:t>NDA</w:t>
      </w:r>
      <w:r w:rsidR="008C7417">
        <w:rPr>
          <w:rFonts w:ascii="Aptos" w:hAnsi="Aptos"/>
        </w:rPr>
        <w:t xml:space="preserve"> </w:t>
      </w:r>
      <w:r w:rsidR="00207C76">
        <w:rPr>
          <w:rFonts w:ascii="Aptos" w:hAnsi="Aptos"/>
        </w:rPr>
        <w:t>pour</w:t>
      </w:r>
      <w:r w:rsidR="008C7417">
        <w:rPr>
          <w:rFonts w:ascii="Aptos" w:hAnsi="Aptos"/>
        </w:rPr>
        <w:t xml:space="preserve"> </w:t>
      </w:r>
      <w:r w:rsidR="00207C76">
        <w:rPr>
          <w:rFonts w:ascii="Aptos" w:hAnsi="Aptos"/>
        </w:rPr>
        <w:t>agir</w:t>
      </w:r>
      <w:r w:rsidR="008C7417">
        <w:rPr>
          <w:rFonts w:ascii="Aptos" w:hAnsi="Aptos"/>
        </w:rPr>
        <w:t xml:space="preserve"> activement en faveur de l’intégrité du système financier</w:t>
      </w:r>
      <w:r w:rsidR="00207C76">
        <w:rPr>
          <w:rFonts w:ascii="Aptos" w:hAnsi="Aptos"/>
        </w:rPr>
        <w:t>,</w:t>
      </w:r>
      <w:r w:rsidR="008C7417">
        <w:rPr>
          <w:rFonts w:ascii="Aptos" w:hAnsi="Aptos"/>
        </w:rPr>
        <w:t xml:space="preserve"> en luttant contre </w:t>
      </w:r>
      <w:r w:rsidR="00207C76">
        <w:rPr>
          <w:rFonts w:ascii="Aptos" w:hAnsi="Aptos"/>
        </w:rPr>
        <w:t>le fléau de la criminalité financière, et en particulier, celui du financement du terrorisme</w:t>
      </w:r>
      <w:r w:rsidR="005F76D1" w:rsidRPr="005F76D1">
        <w:rPr>
          <w:rFonts w:ascii="Aptos" w:hAnsi="Aptos"/>
        </w:rPr>
        <w:t>.</w:t>
      </w:r>
    </w:p>
    <w:p w14:paraId="7CA5E146" w14:textId="77777777" w:rsidR="0085755E" w:rsidRPr="001E2605" w:rsidRDefault="0085755E" w:rsidP="00264EBD">
      <w:pPr>
        <w:pStyle w:val="Sansinterligne"/>
        <w:jc w:val="both"/>
        <w:rPr>
          <w:rFonts w:ascii="Aptos" w:hAnsi="Aptos"/>
        </w:rPr>
      </w:pPr>
    </w:p>
    <w:p w14:paraId="4556BFA4" w14:textId="645F3E78" w:rsidR="00B027A5" w:rsidRPr="00961D8B" w:rsidRDefault="00B027A5" w:rsidP="00264EBD">
      <w:pPr>
        <w:pStyle w:val="Sansinterligne"/>
        <w:jc w:val="both"/>
        <w:rPr>
          <w:rFonts w:ascii="Aptos" w:hAnsi="Aptos"/>
          <w:b/>
          <w:bCs/>
          <w:i/>
          <w:iCs/>
        </w:rPr>
      </w:pPr>
      <w:r w:rsidRPr="00961D8B">
        <w:rPr>
          <w:rFonts w:ascii="Aptos" w:hAnsi="Aptos"/>
          <w:b/>
          <w:bCs/>
          <w:i/>
          <w:iCs/>
        </w:rPr>
        <w:t>À propos de</w:t>
      </w:r>
      <w:r w:rsidR="002E4FC1">
        <w:rPr>
          <w:rFonts w:ascii="Aptos" w:hAnsi="Aptos"/>
          <w:b/>
          <w:bCs/>
          <w:i/>
          <w:iCs/>
        </w:rPr>
        <w:t> :</w:t>
      </w:r>
    </w:p>
    <w:p w14:paraId="5B1A54E3" w14:textId="77777777" w:rsidR="00C472E8" w:rsidRDefault="00C472E8" w:rsidP="006B211A">
      <w:pPr>
        <w:pStyle w:val="Sansinterligne"/>
        <w:rPr>
          <w:rFonts w:ascii="Aptos" w:hAnsi="Aptos"/>
          <w:i/>
          <w:i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6A7BDE" w14:paraId="1ABA90F1" w14:textId="77777777" w:rsidTr="00D82A5B">
        <w:tc>
          <w:tcPr>
            <w:tcW w:w="2547" w:type="dxa"/>
            <w:vAlign w:val="center"/>
          </w:tcPr>
          <w:p w14:paraId="6695A0AC" w14:textId="543690F8" w:rsidR="006A7BDE" w:rsidRPr="006A7BDE" w:rsidRDefault="00600DAC" w:rsidP="006A7BDE">
            <w:pPr>
              <w:pStyle w:val="Sansinterligne"/>
              <w:jc w:val="both"/>
              <w:rPr>
                <w:rFonts w:ascii="Aptos" w:hAnsi="Aptos"/>
                <w:b/>
                <w:bCs/>
                <w:i/>
                <w:iCs/>
              </w:rPr>
            </w:pPr>
            <w:r>
              <w:rPr>
                <w:rFonts w:ascii="Aptos" w:hAnsi="Aptos"/>
                <w:b/>
                <w:bCs/>
                <w:i/>
                <w:iCs/>
              </w:rPr>
              <w:t>ENDA</w:t>
            </w:r>
          </w:p>
        </w:tc>
        <w:tc>
          <w:tcPr>
            <w:tcW w:w="7647" w:type="dxa"/>
          </w:tcPr>
          <w:p w14:paraId="1541DCA6" w14:textId="77777777" w:rsidR="006A7BDE" w:rsidRPr="009D6B86" w:rsidRDefault="006A7BDE" w:rsidP="009D6B86">
            <w:pPr>
              <w:pStyle w:val="Sansinterligne"/>
              <w:jc w:val="both"/>
              <w:rPr>
                <w:rFonts w:ascii="Aptos" w:hAnsi="Aptos"/>
              </w:rPr>
            </w:pPr>
          </w:p>
        </w:tc>
      </w:tr>
      <w:tr w:rsidR="00C472E8" w14:paraId="60406B3C" w14:textId="77777777" w:rsidTr="00D82A5B">
        <w:tc>
          <w:tcPr>
            <w:tcW w:w="2547" w:type="dxa"/>
            <w:vAlign w:val="center"/>
          </w:tcPr>
          <w:p w14:paraId="434FD7C1" w14:textId="1AF57A93" w:rsidR="00C472E8" w:rsidRDefault="008204E8" w:rsidP="006B211A">
            <w:pPr>
              <w:pStyle w:val="Sansinterligne"/>
              <w:rPr>
                <w:rFonts w:ascii="Aptos" w:hAnsi="Aptos"/>
              </w:rPr>
            </w:pPr>
            <w:r>
              <w:rPr>
                <w:rFonts w:ascii="Aptos" w:hAnsi="Aptos"/>
                <w:noProof/>
              </w:rPr>
              <w:drawing>
                <wp:inline distT="0" distB="0" distL="0" distR="0" wp14:anchorId="59916441" wp14:editId="1E22C8B1">
                  <wp:extent cx="961200" cy="903600"/>
                  <wp:effectExtent l="0" t="0" r="0" b="0"/>
                  <wp:docPr id="6973677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200" cy="903600"/>
                          </a:xfrm>
                          <a:prstGeom prst="rect">
                            <a:avLst/>
                          </a:prstGeom>
                          <a:noFill/>
                        </pic:spPr>
                      </pic:pic>
                    </a:graphicData>
                  </a:graphic>
                </wp:inline>
              </w:drawing>
            </w:r>
          </w:p>
        </w:tc>
        <w:tc>
          <w:tcPr>
            <w:tcW w:w="7647" w:type="dxa"/>
          </w:tcPr>
          <w:p w14:paraId="26520E32" w14:textId="29280419" w:rsidR="00653A1C" w:rsidRPr="00653A1C" w:rsidRDefault="00653A1C" w:rsidP="00653A1C">
            <w:pPr>
              <w:pStyle w:val="Sansinterligne"/>
              <w:jc w:val="lowKashida"/>
              <w:rPr>
                <w:rFonts w:ascii="Aptos" w:hAnsi="Aptos"/>
              </w:rPr>
            </w:pPr>
            <w:r w:rsidRPr="00653A1C">
              <w:rPr>
                <w:rFonts w:ascii="Aptos" w:hAnsi="Aptos"/>
              </w:rPr>
              <w:t xml:space="preserve">Enda </w:t>
            </w:r>
            <w:proofErr w:type="spellStart"/>
            <w:r w:rsidRPr="00653A1C">
              <w:rPr>
                <w:rFonts w:ascii="Aptos" w:hAnsi="Aptos"/>
              </w:rPr>
              <w:t>Tamweel</w:t>
            </w:r>
            <w:proofErr w:type="spellEnd"/>
            <w:r w:rsidRPr="00653A1C">
              <w:rPr>
                <w:rFonts w:ascii="Aptos" w:hAnsi="Aptos"/>
              </w:rPr>
              <w:t xml:space="preserve"> est une société de </w:t>
            </w:r>
            <w:r w:rsidR="00D40E08" w:rsidRPr="00653A1C">
              <w:rPr>
                <w:rFonts w:ascii="Aptos" w:hAnsi="Aptos"/>
              </w:rPr>
              <w:t>microfinance</w:t>
            </w:r>
            <w:r w:rsidRPr="00653A1C">
              <w:rPr>
                <w:rFonts w:ascii="Aptos" w:hAnsi="Aptos"/>
              </w:rPr>
              <w:t xml:space="preserve"> tunisienne créée par l’organisation non-gouvernementale </w:t>
            </w:r>
            <w:r w:rsidR="00064F9B">
              <w:rPr>
                <w:rFonts w:ascii="Aptos" w:hAnsi="Aptos"/>
              </w:rPr>
              <w:t xml:space="preserve">internationale </w:t>
            </w:r>
            <w:r w:rsidRPr="00653A1C">
              <w:rPr>
                <w:rFonts w:ascii="Aptos" w:hAnsi="Aptos"/>
              </w:rPr>
              <w:t xml:space="preserve">Enda </w:t>
            </w:r>
            <w:proofErr w:type="spellStart"/>
            <w:r w:rsidRPr="00653A1C">
              <w:rPr>
                <w:rFonts w:ascii="Aptos" w:hAnsi="Aptos"/>
              </w:rPr>
              <w:t>inter-arabe</w:t>
            </w:r>
            <w:proofErr w:type="spellEnd"/>
            <w:r w:rsidRPr="00653A1C">
              <w:rPr>
                <w:rFonts w:ascii="Aptos" w:hAnsi="Aptos"/>
              </w:rPr>
              <w:t xml:space="preserve">, pionnière du secteur de la </w:t>
            </w:r>
            <w:r w:rsidR="00D40E08" w:rsidRPr="00653A1C">
              <w:rPr>
                <w:rFonts w:ascii="Aptos" w:hAnsi="Aptos"/>
              </w:rPr>
              <w:t>microfinance</w:t>
            </w:r>
            <w:r w:rsidRPr="00653A1C">
              <w:rPr>
                <w:rFonts w:ascii="Aptos" w:hAnsi="Aptos"/>
              </w:rPr>
              <w:t xml:space="preserve"> en Tunisie. Enda </w:t>
            </w:r>
            <w:proofErr w:type="spellStart"/>
            <w:r w:rsidRPr="00653A1C">
              <w:rPr>
                <w:rFonts w:ascii="Aptos" w:hAnsi="Aptos"/>
              </w:rPr>
              <w:t>Tamweel</w:t>
            </w:r>
            <w:proofErr w:type="spellEnd"/>
            <w:r w:rsidRPr="00653A1C">
              <w:rPr>
                <w:rFonts w:ascii="Aptos" w:hAnsi="Aptos"/>
              </w:rPr>
              <w:t xml:space="preserve"> œuvre pour l’inclusion financière des populations vulnérables, notamment les femmes et les jeunes.</w:t>
            </w:r>
          </w:p>
          <w:p w14:paraId="102A91BB" w14:textId="77777777" w:rsidR="00653A1C" w:rsidRPr="00653A1C" w:rsidRDefault="00653A1C" w:rsidP="00653A1C">
            <w:pPr>
              <w:pStyle w:val="Sansinterligne"/>
              <w:jc w:val="lowKashida"/>
              <w:rPr>
                <w:rFonts w:ascii="Aptos" w:hAnsi="Aptos"/>
              </w:rPr>
            </w:pPr>
            <w:r w:rsidRPr="00653A1C">
              <w:rPr>
                <w:rFonts w:ascii="Aptos" w:hAnsi="Aptos"/>
              </w:rPr>
              <w:t>Elle apporte une forte contribution au développement économique et social du pays à travers le soutien actif qu’elle fournit au micro-entrepreneuriat et à l’auto-emploi.</w:t>
            </w:r>
          </w:p>
          <w:p w14:paraId="6914DBC8" w14:textId="557FB1A8" w:rsidR="00C472E8" w:rsidRDefault="00653A1C" w:rsidP="00653A1C">
            <w:pPr>
              <w:pStyle w:val="Sansinterligne"/>
              <w:jc w:val="both"/>
              <w:rPr>
                <w:rFonts w:ascii="Aptos" w:hAnsi="Aptos"/>
              </w:rPr>
            </w:pPr>
            <w:r w:rsidRPr="00653A1C">
              <w:rPr>
                <w:rFonts w:ascii="Aptos" w:hAnsi="Aptos"/>
              </w:rPr>
              <w:t xml:space="preserve">Appuyant son développement sur la proximité, Enda </w:t>
            </w:r>
            <w:proofErr w:type="spellStart"/>
            <w:r w:rsidRPr="00653A1C">
              <w:rPr>
                <w:rFonts w:ascii="Aptos" w:hAnsi="Aptos"/>
              </w:rPr>
              <w:t>Tamweel</w:t>
            </w:r>
            <w:proofErr w:type="spellEnd"/>
            <w:r w:rsidRPr="00653A1C">
              <w:rPr>
                <w:rFonts w:ascii="Aptos" w:hAnsi="Aptos"/>
              </w:rPr>
              <w:t xml:space="preserve"> opère à travers un réseau de 109 agences couvrant l’ensemble des gouvernorats tunisiens et de 5 guichets mobiles desservant principalement les zones enclavées.</w:t>
            </w:r>
          </w:p>
        </w:tc>
      </w:tr>
      <w:tr w:rsidR="00C472E8" w14:paraId="00081572" w14:textId="77777777" w:rsidTr="00D82A5B">
        <w:tc>
          <w:tcPr>
            <w:tcW w:w="2547" w:type="dxa"/>
            <w:vAlign w:val="center"/>
          </w:tcPr>
          <w:p w14:paraId="225EC600" w14:textId="3CD4D9CA" w:rsidR="00C472E8" w:rsidRPr="006A7BDE" w:rsidRDefault="006A7BDE" w:rsidP="006A7BDE">
            <w:pPr>
              <w:pStyle w:val="Sansinterligne"/>
              <w:jc w:val="both"/>
              <w:rPr>
                <w:rFonts w:ascii="Aptos" w:hAnsi="Aptos"/>
                <w:b/>
                <w:bCs/>
                <w:i/>
                <w:iCs/>
              </w:rPr>
            </w:pPr>
            <w:r w:rsidRPr="00E42D09">
              <w:rPr>
                <w:rFonts w:ascii="Aptos" w:hAnsi="Aptos"/>
                <w:b/>
                <w:bCs/>
                <w:i/>
                <w:iCs/>
              </w:rPr>
              <w:t xml:space="preserve">Norme </w:t>
            </w:r>
            <w:r>
              <w:rPr>
                <w:rFonts w:ascii="Aptos" w:hAnsi="Aptos"/>
                <w:b/>
                <w:bCs/>
                <w:i/>
                <w:iCs/>
              </w:rPr>
              <w:t>AML 30000</w:t>
            </w:r>
          </w:p>
        </w:tc>
        <w:tc>
          <w:tcPr>
            <w:tcW w:w="7647" w:type="dxa"/>
          </w:tcPr>
          <w:p w14:paraId="28DEA260" w14:textId="77777777" w:rsidR="00C472E8" w:rsidRDefault="00C472E8" w:rsidP="006B211A">
            <w:pPr>
              <w:pStyle w:val="Sansinterligne"/>
              <w:rPr>
                <w:rFonts w:ascii="Aptos" w:hAnsi="Aptos"/>
              </w:rPr>
            </w:pPr>
          </w:p>
        </w:tc>
      </w:tr>
      <w:tr w:rsidR="00C472E8" w14:paraId="3CD85F5D" w14:textId="77777777" w:rsidTr="00D82A5B">
        <w:tc>
          <w:tcPr>
            <w:tcW w:w="2547" w:type="dxa"/>
            <w:vAlign w:val="center"/>
          </w:tcPr>
          <w:p w14:paraId="512B5E5A" w14:textId="6CD80769" w:rsidR="00C472E8" w:rsidRDefault="00E7128D" w:rsidP="006B211A">
            <w:pPr>
              <w:pStyle w:val="Sansinterligne"/>
              <w:rPr>
                <w:rFonts w:ascii="Aptos" w:hAnsi="Aptos"/>
              </w:rPr>
            </w:pPr>
            <w:r>
              <w:rPr>
                <w:rFonts w:ascii="Aptos" w:hAnsi="Aptos"/>
                <w:noProof/>
              </w:rPr>
              <w:drawing>
                <wp:inline distT="0" distB="0" distL="0" distR="0" wp14:anchorId="5796CE25" wp14:editId="59B0C08F">
                  <wp:extent cx="1225550" cy="914400"/>
                  <wp:effectExtent l="0" t="0" r="0" b="0"/>
                  <wp:docPr id="15230003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914400"/>
                          </a:xfrm>
                          <a:prstGeom prst="rect">
                            <a:avLst/>
                          </a:prstGeom>
                          <a:noFill/>
                        </pic:spPr>
                      </pic:pic>
                    </a:graphicData>
                  </a:graphic>
                </wp:inline>
              </w:drawing>
            </w:r>
          </w:p>
        </w:tc>
        <w:tc>
          <w:tcPr>
            <w:tcW w:w="7647" w:type="dxa"/>
          </w:tcPr>
          <w:p w14:paraId="07CF756C" w14:textId="2922708A" w:rsidR="00C472E8" w:rsidRDefault="008421F2" w:rsidP="008421F2">
            <w:pPr>
              <w:pStyle w:val="Sansinterligne"/>
              <w:jc w:val="both"/>
              <w:rPr>
                <w:rFonts w:ascii="Aptos" w:hAnsi="Aptos"/>
              </w:rPr>
            </w:pPr>
            <w:r w:rsidRPr="008421F2">
              <w:rPr>
                <w:rFonts w:ascii="Aptos" w:hAnsi="Aptos"/>
              </w:rPr>
              <w:t xml:space="preserve">La norme AML 30000 (AML pour Anti-Money </w:t>
            </w:r>
            <w:proofErr w:type="spellStart"/>
            <w:r w:rsidRPr="008421F2">
              <w:rPr>
                <w:rFonts w:ascii="Aptos" w:hAnsi="Aptos"/>
              </w:rPr>
              <w:t>Laundering</w:t>
            </w:r>
            <w:proofErr w:type="spellEnd"/>
            <w:r w:rsidRPr="008421F2">
              <w:rPr>
                <w:rFonts w:ascii="Aptos" w:hAnsi="Aptos"/>
              </w:rPr>
              <w:t xml:space="preserve"> – indice 30000) est la norme internationale dédiée à la lutte contre le blanchiment d’argent, le financement du terrorisme et la prolifération des armes de destruction massive (LBA/FTP) destinée aux institutions financières et à certaines entreprises et professions non financières, désignées comme « les personnes assujetties » par le GAFI. La certification à la norme AML 30000 vise à se prémunir et à rassurer les différentes parties prenantes contre les risques de blanchiment d’argent et de financement du terrorisme. La norme est régie à l’échelle internationale par l’IGSF (International Group for </w:t>
            </w:r>
            <w:proofErr w:type="spellStart"/>
            <w:r w:rsidRPr="008421F2">
              <w:rPr>
                <w:rFonts w:ascii="Aptos" w:hAnsi="Aptos"/>
              </w:rPr>
              <w:t>Sustainable</w:t>
            </w:r>
            <w:proofErr w:type="spellEnd"/>
            <w:r w:rsidRPr="008421F2">
              <w:rPr>
                <w:rFonts w:ascii="Aptos" w:hAnsi="Aptos"/>
              </w:rPr>
              <w:t xml:space="preserve"> Finance).</w:t>
            </w:r>
          </w:p>
        </w:tc>
      </w:tr>
      <w:tr w:rsidR="00C472E8" w14:paraId="0C053266" w14:textId="77777777" w:rsidTr="00D82A5B">
        <w:tc>
          <w:tcPr>
            <w:tcW w:w="2547" w:type="dxa"/>
            <w:vAlign w:val="center"/>
          </w:tcPr>
          <w:p w14:paraId="53CF564A" w14:textId="5DF90BCC" w:rsidR="00C472E8" w:rsidRPr="00DC2982" w:rsidRDefault="004B2DB8" w:rsidP="00DC2982">
            <w:pPr>
              <w:pStyle w:val="Sansinterligne"/>
              <w:rPr>
                <w:rFonts w:ascii="Aptos" w:hAnsi="Aptos"/>
                <w:b/>
                <w:bCs/>
                <w:i/>
                <w:iCs/>
              </w:rPr>
            </w:pPr>
            <w:r w:rsidRPr="00D61E7F">
              <w:rPr>
                <w:rFonts w:ascii="Aptos" w:hAnsi="Aptos"/>
                <w:b/>
                <w:bCs/>
                <w:i/>
                <w:iCs/>
              </w:rPr>
              <w:t>IGFS</w:t>
            </w:r>
          </w:p>
        </w:tc>
        <w:tc>
          <w:tcPr>
            <w:tcW w:w="7647" w:type="dxa"/>
          </w:tcPr>
          <w:p w14:paraId="542E371D" w14:textId="77777777" w:rsidR="00C472E8" w:rsidRDefault="00C472E8" w:rsidP="006B211A">
            <w:pPr>
              <w:pStyle w:val="Sansinterligne"/>
              <w:rPr>
                <w:rFonts w:ascii="Aptos" w:hAnsi="Aptos"/>
              </w:rPr>
            </w:pPr>
          </w:p>
        </w:tc>
      </w:tr>
      <w:tr w:rsidR="00C472E8" w14:paraId="60D31C0F" w14:textId="77777777" w:rsidTr="00D82A5B">
        <w:tc>
          <w:tcPr>
            <w:tcW w:w="2547" w:type="dxa"/>
            <w:vAlign w:val="center"/>
          </w:tcPr>
          <w:p w14:paraId="3E6B24E2" w14:textId="336188FF" w:rsidR="00C472E8" w:rsidRDefault="00E901CD" w:rsidP="006B211A">
            <w:pPr>
              <w:pStyle w:val="Sansinterligne"/>
              <w:rPr>
                <w:rFonts w:ascii="Aptos" w:hAnsi="Aptos"/>
              </w:rPr>
            </w:pPr>
            <w:r>
              <w:rPr>
                <w:rFonts w:ascii="Aptos" w:hAnsi="Aptos"/>
                <w:noProof/>
              </w:rPr>
              <w:drawing>
                <wp:inline distT="0" distB="0" distL="0" distR="0" wp14:anchorId="2EE033CE" wp14:editId="1600AFB6">
                  <wp:extent cx="1322705" cy="1054735"/>
                  <wp:effectExtent l="0" t="0" r="0" b="0"/>
                  <wp:docPr id="4252685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705" cy="1054735"/>
                          </a:xfrm>
                          <a:prstGeom prst="rect">
                            <a:avLst/>
                          </a:prstGeom>
                          <a:noFill/>
                        </pic:spPr>
                      </pic:pic>
                    </a:graphicData>
                  </a:graphic>
                </wp:inline>
              </w:drawing>
            </w:r>
          </w:p>
        </w:tc>
        <w:tc>
          <w:tcPr>
            <w:tcW w:w="7647" w:type="dxa"/>
          </w:tcPr>
          <w:p w14:paraId="47323866" w14:textId="77777777" w:rsidR="00E901CD" w:rsidRPr="00E901CD" w:rsidRDefault="00E901CD" w:rsidP="00E901CD">
            <w:pPr>
              <w:pStyle w:val="Sansinterligne"/>
              <w:jc w:val="both"/>
              <w:rPr>
                <w:rFonts w:ascii="Aptos" w:hAnsi="Aptos"/>
              </w:rPr>
            </w:pPr>
            <w:r w:rsidRPr="00E901CD">
              <w:rPr>
                <w:rFonts w:ascii="Aptos" w:hAnsi="Aptos"/>
              </w:rPr>
              <w:t>L’IGSF est une ONG à but non lucratif, basée au Luxembourg, dont les activités ont pour objectif de canaliser et d’organiser les efforts internationaux en matière de normalisation financière et extra-financière.</w:t>
            </w:r>
          </w:p>
          <w:p w14:paraId="2F72C3ED" w14:textId="6CAA71AD" w:rsidR="00C472E8" w:rsidRDefault="00E901CD" w:rsidP="00E901CD">
            <w:pPr>
              <w:pStyle w:val="Sansinterligne"/>
              <w:jc w:val="both"/>
              <w:rPr>
                <w:rFonts w:ascii="Aptos" w:hAnsi="Aptos"/>
              </w:rPr>
            </w:pPr>
            <w:r w:rsidRPr="00E901CD">
              <w:rPr>
                <w:rFonts w:ascii="Aptos" w:hAnsi="Aptos"/>
              </w:rPr>
              <w:t>L’IGSF, en tant qu’entité de normalisation, œuvre principalement sur deux volets : d’une part, l’organisation technique des normes en matière de gouvernance financière et extra-financière et, d’autre part, la diffusion des normes et des bonnes pratiques en général. Les thématiques couvertes au sein de l’IGSF traitent notamment des enjeux en matière de gouvernance financière, de lutte contre la criminalité financière ou encore de responsabilité sociétale des entreprises ou organisations de tout type.</w:t>
            </w:r>
          </w:p>
        </w:tc>
      </w:tr>
      <w:tr w:rsidR="00C472E8" w14:paraId="5680C0F8" w14:textId="77777777" w:rsidTr="00D82A5B">
        <w:tc>
          <w:tcPr>
            <w:tcW w:w="2547" w:type="dxa"/>
            <w:vAlign w:val="center"/>
          </w:tcPr>
          <w:p w14:paraId="44228381" w14:textId="77777777" w:rsidR="00FF2FAB" w:rsidRDefault="00FF2FAB" w:rsidP="004B434E">
            <w:pPr>
              <w:pStyle w:val="Sansinterligne"/>
              <w:jc w:val="both"/>
              <w:rPr>
                <w:rFonts w:ascii="Aptos" w:hAnsi="Aptos"/>
                <w:b/>
                <w:bCs/>
                <w:i/>
                <w:iCs/>
              </w:rPr>
            </w:pPr>
          </w:p>
          <w:p w14:paraId="7209A3BF" w14:textId="77777777" w:rsidR="00FF2FAB" w:rsidRDefault="00FF2FAB" w:rsidP="004B434E">
            <w:pPr>
              <w:pStyle w:val="Sansinterligne"/>
              <w:jc w:val="both"/>
              <w:rPr>
                <w:rFonts w:ascii="Aptos" w:hAnsi="Aptos"/>
                <w:b/>
                <w:bCs/>
                <w:i/>
                <w:iCs/>
              </w:rPr>
            </w:pPr>
          </w:p>
          <w:p w14:paraId="68854A77" w14:textId="77777777" w:rsidR="00FF2FAB" w:rsidRDefault="00FF2FAB" w:rsidP="004B434E">
            <w:pPr>
              <w:pStyle w:val="Sansinterligne"/>
              <w:jc w:val="both"/>
              <w:rPr>
                <w:rFonts w:ascii="Aptos" w:hAnsi="Aptos"/>
                <w:b/>
                <w:bCs/>
                <w:i/>
                <w:iCs/>
              </w:rPr>
            </w:pPr>
          </w:p>
          <w:p w14:paraId="1DE857CC" w14:textId="76DBC79A" w:rsidR="00C472E8" w:rsidRPr="004B434E" w:rsidRDefault="004B434E" w:rsidP="004B434E">
            <w:pPr>
              <w:pStyle w:val="Sansinterligne"/>
              <w:jc w:val="both"/>
              <w:rPr>
                <w:rFonts w:ascii="Aptos" w:hAnsi="Aptos"/>
                <w:b/>
                <w:bCs/>
                <w:i/>
                <w:iCs/>
              </w:rPr>
            </w:pPr>
            <w:r w:rsidRPr="00E42D09">
              <w:rPr>
                <w:rFonts w:ascii="Aptos" w:hAnsi="Aptos"/>
                <w:b/>
                <w:bCs/>
                <w:i/>
                <w:iCs/>
              </w:rPr>
              <w:t>COFICERT</w:t>
            </w:r>
          </w:p>
        </w:tc>
        <w:tc>
          <w:tcPr>
            <w:tcW w:w="7647" w:type="dxa"/>
          </w:tcPr>
          <w:p w14:paraId="757CF99C" w14:textId="77777777" w:rsidR="00C472E8" w:rsidRDefault="00C472E8" w:rsidP="006B211A">
            <w:pPr>
              <w:pStyle w:val="Sansinterligne"/>
              <w:rPr>
                <w:rFonts w:ascii="Aptos" w:hAnsi="Aptos"/>
              </w:rPr>
            </w:pPr>
          </w:p>
        </w:tc>
      </w:tr>
      <w:tr w:rsidR="004B434E" w14:paraId="64240A10" w14:textId="77777777" w:rsidTr="00D82A5B">
        <w:tc>
          <w:tcPr>
            <w:tcW w:w="2547" w:type="dxa"/>
            <w:vAlign w:val="center"/>
          </w:tcPr>
          <w:p w14:paraId="43F65C34" w14:textId="2932859B" w:rsidR="004B434E" w:rsidRPr="00E42D09" w:rsidRDefault="00F530CD" w:rsidP="004B434E">
            <w:pPr>
              <w:pStyle w:val="Sansinterligne"/>
              <w:jc w:val="both"/>
              <w:rPr>
                <w:rFonts w:ascii="Aptos" w:hAnsi="Aptos"/>
                <w:b/>
                <w:bCs/>
                <w:i/>
                <w:iCs/>
              </w:rPr>
            </w:pPr>
            <w:r>
              <w:rPr>
                <w:rFonts w:ascii="Aptos" w:hAnsi="Aptos"/>
                <w:b/>
                <w:bCs/>
                <w:i/>
                <w:iCs/>
                <w:noProof/>
              </w:rPr>
              <w:drawing>
                <wp:inline distT="0" distB="0" distL="0" distR="0" wp14:anchorId="1AD7C4EA" wp14:editId="2C6E70A2">
                  <wp:extent cx="1087200" cy="986400"/>
                  <wp:effectExtent l="0" t="0" r="0" b="4445"/>
                  <wp:docPr id="35380098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200" cy="986400"/>
                          </a:xfrm>
                          <a:prstGeom prst="rect">
                            <a:avLst/>
                          </a:prstGeom>
                          <a:noFill/>
                        </pic:spPr>
                      </pic:pic>
                    </a:graphicData>
                  </a:graphic>
                </wp:inline>
              </w:drawing>
            </w:r>
          </w:p>
        </w:tc>
        <w:tc>
          <w:tcPr>
            <w:tcW w:w="7647" w:type="dxa"/>
          </w:tcPr>
          <w:p w14:paraId="5D3C0F4E" w14:textId="7F7EB5EA" w:rsidR="004B434E" w:rsidRDefault="00F530CD" w:rsidP="00F530CD">
            <w:pPr>
              <w:pStyle w:val="Sansinterligne"/>
              <w:jc w:val="both"/>
              <w:rPr>
                <w:rFonts w:ascii="Aptos" w:hAnsi="Aptos"/>
              </w:rPr>
            </w:pPr>
            <w:r w:rsidRPr="00F530CD">
              <w:rPr>
                <w:rFonts w:ascii="Aptos" w:hAnsi="Aptos"/>
              </w:rPr>
              <w:t>COFICERT est un organisme de certification français, spécialisé dans les certifications financières et extra-financières, intervenant dans plus de 40 pays. COFICERT opère historiquement avec, et aux côtés, des organismes de certification et de normalisation internationaux. L’organisme rassemble des experts qualifiés en matière de gouvernance, de lutte contre la criminalité financière et de finance durable. L’activité de COFICERT couvre les thématiques suivantes : La solidité et la performance financière (MSI 20000), la responsabilité sociétale des entreprises (ESG 1000), la lutte contre le blanchiment d’argent et le financement du terrorisme (AML 30000), la gouvernance des organisations (ISO 37000) et la lutte contre la corruption (ISO 37001).</w:t>
            </w:r>
          </w:p>
        </w:tc>
      </w:tr>
    </w:tbl>
    <w:p w14:paraId="5E1FB301" w14:textId="240B7784" w:rsidR="00C472E8" w:rsidRDefault="00C472E8" w:rsidP="006B211A">
      <w:pPr>
        <w:pStyle w:val="Sansinterligne"/>
        <w:rPr>
          <w:rFonts w:ascii="Aptos" w:hAnsi="Aptos"/>
          <w:i/>
          <w:iCs/>
        </w:rPr>
      </w:pPr>
    </w:p>
    <w:p w14:paraId="313AC63C" w14:textId="77777777" w:rsidR="00AB58FB" w:rsidRPr="00264EBD" w:rsidRDefault="00AB58FB" w:rsidP="008F5E5D">
      <w:pPr>
        <w:pStyle w:val="Sansinterligne"/>
        <w:jc w:val="both"/>
        <w:rPr>
          <w:rFonts w:ascii="Aptos" w:hAnsi="Aptos"/>
        </w:rPr>
      </w:pPr>
    </w:p>
    <w:sectPr w:rsidR="00AB58FB" w:rsidRPr="00264EBD" w:rsidSect="006B7953">
      <w:footerReference w:type="default" r:id="rId12"/>
      <w:pgSz w:w="11906" w:h="16838"/>
      <w:pgMar w:top="851" w:right="851" w:bottom="170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F539" w14:textId="77777777" w:rsidR="00217A91" w:rsidRDefault="00217A91" w:rsidP="00BE1E48">
      <w:pPr>
        <w:spacing w:after="0" w:line="240" w:lineRule="auto"/>
      </w:pPr>
      <w:r>
        <w:separator/>
      </w:r>
    </w:p>
  </w:endnote>
  <w:endnote w:type="continuationSeparator" w:id="0">
    <w:p w14:paraId="65C99F93" w14:textId="77777777" w:rsidR="00217A91" w:rsidRDefault="00217A91" w:rsidP="00BE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E114" w14:textId="77777777" w:rsidR="008E3A09" w:rsidRPr="00566CB0" w:rsidRDefault="008E3A09" w:rsidP="008E3A09">
    <w:pPr>
      <w:pStyle w:val="Sansinterligne"/>
      <w:rPr>
        <w:rFonts w:ascii="Aptos" w:hAnsi="Aptos"/>
        <w:b/>
        <w:bCs/>
        <w:color w:val="002060"/>
        <w:sz w:val="24"/>
        <w:szCs w:val="24"/>
      </w:rPr>
    </w:pPr>
    <w:r w:rsidRPr="00566CB0">
      <w:rPr>
        <w:rFonts w:ascii="Aptos" w:hAnsi="Aptos"/>
        <w:b/>
        <w:bCs/>
        <w:color w:val="002060"/>
        <w:sz w:val="24"/>
        <w:szCs w:val="24"/>
      </w:rPr>
      <w:t>AELIUM Tunisie</w:t>
    </w:r>
  </w:p>
  <w:p w14:paraId="59E27BF4" w14:textId="77777777" w:rsidR="008E3A09" w:rsidRPr="00566CB0" w:rsidRDefault="008E3A09" w:rsidP="008E3A09">
    <w:pPr>
      <w:pStyle w:val="Sansinterligne"/>
      <w:rPr>
        <w:rFonts w:ascii="Aptos" w:hAnsi="Aptos"/>
        <w:color w:val="002060"/>
        <w:sz w:val="20"/>
        <w:szCs w:val="20"/>
      </w:rPr>
    </w:pPr>
    <w:r w:rsidRPr="00566CB0">
      <w:rPr>
        <w:rFonts w:ascii="Aptos" w:hAnsi="Aptos"/>
        <w:color w:val="002060"/>
        <w:sz w:val="20"/>
        <w:szCs w:val="20"/>
      </w:rPr>
      <w:t xml:space="preserve">Agence de Communication Financière </w:t>
    </w:r>
  </w:p>
  <w:p w14:paraId="5ACD2C51" w14:textId="19D8B657" w:rsidR="000C3E5D" w:rsidRPr="008E3A09" w:rsidRDefault="000C3E5D" w:rsidP="008E3A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FC61" w14:textId="77777777" w:rsidR="00217A91" w:rsidRDefault="00217A91" w:rsidP="00BE1E48">
      <w:pPr>
        <w:spacing w:after="0" w:line="240" w:lineRule="auto"/>
      </w:pPr>
      <w:r>
        <w:separator/>
      </w:r>
    </w:p>
  </w:footnote>
  <w:footnote w:type="continuationSeparator" w:id="0">
    <w:p w14:paraId="3C220674" w14:textId="77777777" w:rsidR="00217A91" w:rsidRDefault="00217A91" w:rsidP="00BE1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23"/>
    <w:rsid w:val="00005526"/>
    <w:rsid w:val="0003140E"/>
    <w:rsid w:val="000522C7"/>
    <w:rsid w:val="00053806"/>
    <w:rsid w:val="00053B1D"/>
    <w:rsid w:val="00054B4F"/>
    <w:rsid w:val="000641CD"/>
    <w:rsid w:val="00064F9B"/>
    <w:rsid w:val="00080A81"/>
    <w:rsid w:val="00082FC2"/>
    <w:rsid w:val="00094840"/>
    <w:rsid w:val="00094917"/>
    <w:rsid w:val="000966F3"/>
    <w:rsid w:val="000B0C98"/>
    <w:rsid w:val="000B14B6"/>
    <w:rsid w:val="000C3E5D"/>
    <w:rsid w:val="000C45F0"/>
    <w:rsid w:val="000D1DCA"/>
    <w:rsid w:val="000F09EF"/>
    <w:rsid w:val="000F1201"/>
    <w:rsid w:val="00101051"/>
    <w:rsid w:val="00117F6A"/>
    <w:rsid w:val="00125988"/>
    <w:rsid w:val="00136F29"/>
    <w:rsid w:val="001376F7"/>
    <w:rsid w:val="00143623"/>
    <w:rsid w:val="00171822"/>
    <w:rsid w:val="0019548D"/>
    <w:rsid w:val="001A2384"/>
    <w:rsid w:val="001A40EB"/>
    <w:rsid w:val="001B53D6"/>
    <w:rsid w:val="001C3FA7"/>
    <w:rsid w:val="001D0088"/>
    <w:rsid w:val="001E2605"/>
    <w:rsid w:val="001E5044"/>
    <w:rsid w:val="001E7136"/>
    <w:rsid w:val="001E7F4B"/>
    <w:rsid w:val="001F44CE"/>
    <w:rsid w:val="001F6707"/>
    <w:rsid w:val="00207C76"/>
    <w:rsid w:val="00217A91"/>
    <w:rsid w:val="0023148A"/>
    <w:rsid w:val="00256894"/>
    <w:rsid w:val="00264EBD"/>
    <w:rsid w:val="00271C8B"/>
    <w:rsid w:val="00296593"/>
    <w:rsid w:val="002A3E14"/>
    <w:rsid w:val="002A7F6C"/>
    <w:rsid w:val="002B20F2"/>
    <w:rsid w:val="002B3537"/>
    <w:rsid w:val="002C0600"/>
    <w:rsid w:val="002D0E2E"/>
    <w:rsid w:val="002E4FC1"/>
    <w:rsid w:val="00304B3F"/>
    <w:rsid w:val="00315033"/>
    <w:rsid w:val="003352CE"/>
    <w:rsid w:val="00365C5D"/>
    <w:rsid w:val="00367B95"/>
    <w:rsid w:val="00372318"/>
    <w:rsid w:val="003859EB"/>
    <w:rsid w:val="00385F29"/>
    <w:rsid w:val="003965E4"/>
    <w:rsid w:val="003A1023"/>
    <w:rsid w:val="003A3962"/>
    <w:rsid w:val="003C1D12"/>
    <w:rsid w:val="003C4ED7"/>
    <w:rsid w:val="003D0B5C"/>
    <w:rsid w:val="003D0BEF"/>
    <w:rsid w:val="003D6BCB"/>
    <w:rsid w:val="003E6146"/>
    <w:rsid w:val="003F735D"/>
    <w:rsid w:val="003F7C62"/>
    <w:rsid w:val="00400664"/>
    <w:rsid w:val="0040083B"/>
    <w:rsid w:val="00401F14"/>
    <w:rsid w:val="004100EE"/>
    <w:rsid w:val="00411917"/>
    <w:rsid w:val="004124E6"/>
    <w:rsid w:val="00420E22"/>
    <w:rsid w:val="00445416"/>
    <w:rsid w:val="0044571D"/>
    <w:rsid w:val="0045232B"/>
    <w:rsid w:val="0045718F"/>
    <w:rsid w:val="00457553"/>
    <w:rsid w:val="004666B3"/>
    <w:rsid w:val="00475F02"/>
    <w:rsid w:val="00482FAD"/>
    <w:rsid w:val="00486B7F"/>
    <w:rsid w:val="004929AF"/>
    <w:rsid w:val="004A67A7"/>
    <w:rsid w:val="004B1B84"/>
    <w:rsid w:val="004B2DB8"/>
    <w:rsid w:val="004B434E"/>
    <w:rsid w:val="004B5F26"/>
    <w:rsid w:val="004D74A6"/>
    <w:rsid w:val="004E341A"/>
    <w:rsid w:val="004E591C"/>
    <w:rsid w:val="004E6F20"/>
    <w:rsid w:val="004F4146"/>
    <w:rsid w:val="004F7F69"/>
    <w:rsid w:val="00501597"/>
    <w:rsid w:val="005033B2"/>
    <w:rsid w:val="005173C0"/>
    <w:rsid w:val="00524CBB"/>
    <w:rsid w:val="0053775F"/>
    <w:rsid w:val="0054087E"/>
    <w:rsid w:val="00553152"/>
    <w:rsid w:val="00557946"/>
    <w:rsid w:val="00597603"/>
    <w:rsid w:val="005B04C1"/>
    <w:rsid w:val="005B2F3E"/>
    <w:rsid w:val="005B3471"/>
    <w:rsid w:val="005B7392"/>
    <w:rsid w:val="005C1ECE"/>
    <w:rsid w:val="005C3487"/>
    <w:rsid w:val="005D6D5A"/>
    <w:rsid w:val="005F76D1"/>
    <w:rsid w:val="005F7B23"/>
    <w:rsid w:val="00600DAC"/>
    <w:rsid w:val="0060517B"/>
    <w:rsid w:val="00627766"/>
    <w:rsid w:val="00636DAF"/>
    <w:rsid w:val="00637DB1"/>
    <w:rsid w:val="00653A1C"/>
    <w:rsid w:val="006559E2"/>
    <w:rsid w:val="00662832"/>
    <w:rsid w:val="00666DC3"/>
    <w:rsid w:val="00670EBA"/>
    <w:rsid w:val="00681B92"/>
    <w:rsid w:val="00682F73"/>
    <w:rsid w:val="0068382E"/>
    <w:rsid w:val="00690929"/>
    <w:rsid w:val="006A7BDE"/>
    <w:rsid w:val="006B211A"/>
    <w:rsid w:val="006B3AE2"/>
    <w:rsid w:val="006B6750"/>
    <w:rsid w:val="006B7953"/>
    <w:rsid w:val="006C45A8"/>
    <w:rsid w:val="006D09B6"/>
    <w:rsid w:val="006D39A4"/>
    <w:rsid w:val="006E15C8"/>
    <w:rsid w:val="00706F9D"/>
    <w:rsid w:val="00720A81"/>
    <w:rsid w:val="00750392"/>
    <w:rsid w:val="00751FD9"/>
    <w:rsid w:val="0075795E"/>
    <w:rsid w:val="007614BC"/>
    <w:rsid w:val="00782423"/>
    <w:rsid w:val="00787738"/>
    <w:rsid w:val="00790D02"/>
    <w:rsid w:val="007B697E"/>
    <w:rsid w:val="007C4A43"/>
    <w:rsid w:val="007C50FA"/>
    <w:rsid w:val="007D04F0"/>
    <w:rsid w:val="007D0512"/>
    <w:rsid w:val="007F669B"/>
    <w:rsid w:val="00811221"/>
    <w:rsid w:val="0081242C"/>
    <w:rsid w:val="00817326"/>
    <w:rsid w:val="008204E8"/>
    <w:rsid w:val="00821F84"/>
    <w:rsid w:val="00832627"/>
    <w:rsid w:val="0083485B"/>
    <w:rsid w:val="008421F2"/>
    <w:rsid w:val="00845C59"/>
    <w:rsid w:val="008520F0"/>
    <w:rsid w:val="0085755E"/>
    <w:rsid w:val="0086630A"/>
    <w:rsid w:val="008702EE"/>
    <w:rsid w:val="00890BC7"/>
    <w:rsid w:val="00891503"/>
    <w:rsid w:val="008A144F"/>
    <w:rsid w:val="008A313B"/>
    <w:rsid w:val="008B064A"/>
    <w:rsid w:val="008B0D3F"/>
    <w:rsid w:val="008C7417"/>
    <w:rsid w:val="008D4D02"/>
    <w:rsid w:val="008E3792"/>
    <w:rsid w:val="008E3A09"/>
    <w:rsid w:val="008F1339"/>
    <w:rsid w:val="008F5E5D"/>
    <w:rsid w:val="009112F3"/>
    <w:rsid w:val="00921058"/>
    <w:rsid w:val="0092276D"/>
    <w:rsid w:val="00927237"/>
    <w:rsid w:val="00934169"/>
    <w:rsid w:val="00936BA0"/>
    <w:rsid w:val="00961D8B"/>
    <w:rsid w:val="00963CFB"/>
    <w:rsid w:val="0096668E"/>
    <w:rsid w:val="00980627"/>
    <w:rsid w:val="00982633"/>
    <w:rsid w:val="009830EC"/>
    <w:rsid w:val="009B2F64"/>
    <w:rsid w:val="009C3CB6"/>
    <w:rsid w:val="009C42AC"/>
    <w:rsid w:val="009C6CC0"/>
    <w:rsid w:val="009C76C0"/>
    <w:rsid w:val="009D3404"/>
    <w:rsid w:val="009D48E7"/>
    <w:rsid w:val="009D6B86"/>
    <w:rsid w:val="009E1991"/>
    <w:rsid w:val="009E1BBE"/>
    <w:rsid w:val="00A06F29"/>
    <w:rsid w:val="00A166A9"/>
    <w:rsid w:val="00A229DF"/>
    <w:rsid w:val="00A35667"/>
    <w:rsid w:val="00A6162C"/>
    <w:rsid w:val="00A822CA"/>
    <w:rsid w:val="00A829A3"/>
    <w:rsid w:val="00A929E8"/>
    <w:rsid w:val="00AA34C5"/>
    <w:rsid w:val="00AB14BC"/>
    <w:rsid w:val="00AB58FB"/>
    <w:rsid w:val="00AC6221"/>
    <w:rsid w:val="00AD19F1"/>
    <w:rsid w:val="00AD237D"/>
    <w:rsid w:val="00AD297C"/>
    <w:rsid w:val="00AD414E"/>
    <w:rsid w:val="00AD4623"/>
    <w:rsid w:val="00AD652F"/>
    <w:rsid w:val="00AE0B6C"/>
    <w:rsid w:val="00AE4F49"/>
    <w:rsid w:val="00AF530E"/>
    <w:rsid w:val="00AF67D2"/>
    <w:rsid w:val="00B027A5"/>
    <w:rsid w:val="00B0321D"/>
    <w:rsid w:val="00B102F2"/>
    <w:rsid w:val="00B141B0"/>
    <w:rsid w:val="00B16670"/>
    <w:rsid w:val="00B17641"/>
    <w:rsid w:val="00B30FF2"/>
    <w:rsid w:val="00B3583E"/>
    <w:rsid w:val="00B4153F"/>
    <w:rsid w:val="00B45C5C"/>
    <w:rsid w:val="00B51DCA"/>
    <w:rsid w:val="00B64C87"/>
    <w:rsid w:val="00B726DA"/>
    <w:rsid w:val="00B95AFE"/>
    <w:rsid w:val="00BA602F"/>
    <w:rsid w:val="00BB1050"/>
    <w:rsid w:val="00BB3F68"/>
    <w:rsid w:val="00BB41AF"/>
    <w:rsid w:val="00BD5ACD"/>
    <w:rsid w:val="00BD7003"/>
    <w:rsid w:val="00BE1E48"/>
    <w:rsid w:val="00BF21DD"/>
    <w:rsid w:val="00C0537B"/>
    <w:rsid w:val="00C23C7F"/>
    <w:rsid w:val="00C271F5"/>
    <w:rsid w:val="00C34116"/>
    <w:rsid w:val="00C344D4"/>
    <w:rsid w:val="00C35C89"/>
    <w:rsid w:val="00C36621"/>
    <w:rsid w:val="00C375E9"/>
    <w:rsid w:val="00C472E8"/>
    <w:rsid w:val="00C50A43"/>
    <w:rsid w:val="00C6217B"/>
    <w:rsid w:val="00C755F2"/>
    <w:rsid w:val="00C778A9"/>
    <w:rsid w:val="00C87B7A"/>
    <w:rsid w:val="00C87CE8"/>
    <w:rsid w:val="00C93DEA"/>
    <w:rsid w:val="00CA4DC8"/>
    <w:rsid w:val="00CB225A"/>
    <w:rsid w:val="00CB63B4"/>
    <w:rsid w:val="00CC0DF8"/>
    <w:rsid w:val="00CC7188"/>
    <w:rsid w:val="00D007D4"/>
    <w:rsid w:val="00D0612C"/>
    <w:rsid w:val="00D21028"/>
    <w:rsid w:val="00D230A8"/>
    <w:rsid w:val="00D270E5"/>
    <w:rsid w:val="00D40C7D"/>
    <w:rsid w:val="00D40E08"/>
    <w:rsid w:val="00D41A74"/>
    <w:rsid w:val="00D44E70"/>
    <w:rsid w:val="00D47744"/>
    <w:rsid w:val="00D82A5B"/>
    <w:rsid w:val="00DA2D65"/>
    <w:rsid w:val="00DA7D01"/>
    <w:rsid w:val="00DB24F5"/>
    <w:rsid w:val="00DB44D6"/>
    <w:rsid w:val="00DB55FF"/>
    <w:rsid w:val="00DB5D8B"/>
    <w:rsid w:val="00DC2982"/>
    <w:rsid w:val="00DC57F3"/>
    <w:rsid w:val="00DD5F29"/>
    <w:rsid w:val="00DF265D"/>
    <w:rsid w:val="00DF30D0"/>
    <w:rsid w:val="00DF4713"/>
    <w:rsid w:val="00DF7217"/>
    <w:rsid w:val="00E01C7B"/>
    <w:rsid w:val="00E12562"/>
    <w:rsid w:val="00E25E78"/>
    <w:rsid w:val="00E423CA"/>
    <w:rsid w:val="00E42D09"/>
    <w:rsid w:val="00E519E0"/>
    <w:rsid w:val="00E636F1"/>
    <w:rsid w:val="00E7128D"/>
    <w:rsid w:val="00E901CD"/>
    <w:rsid w:val="00E92139"/>
    <w:rsid w:val="00EA3BC4"/>
    <w:rsid w:val="00EA6464"/>
    <w:rsid w:val="00EB518D"/>
    <w:rsid w:val="00EB68FF"/>
    <w:rsid w:val="00EC1CB3"/>
    <w:rsid w:val="00ED44EC"/>
    <w:rsid w:val="00EF0023"/>
    <w:rsid w:val="00EF0EBD"/>
    <w:rsid w:val="00EF6DA7"/>
    <w:rsid w:val="00F00036"/>
    <w:rsid w:val="00F051B6"/>
    <w:rsid w:val="00F32236"/>
    <w:rsid w:val="00F35C81"/>
    <w:rsid w:val="00F41F0C"/>
    <w:rsid w:val="00F530CD"/>
    <w:rsid w:val="00F73785"/>
    <w:rsid w:val="00F7432D"/>
    <w:rsid w:val="00F82916"/>
    <w:rsid w:val="00F90C8F"/>
    <w:rsid w:val="00F90E61"/>
    <w:rsid w:val="00FB27DA"/>
    <w:rsid w:val="00FB7479"/>
    <w:rsid w:val="00FC5CA7"/>
    <w:rsid w:val="00FF2F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40B"/>
  <w15:chartTrackingRefBased/>
  <w15:docId w15:val="{693A8314-8CD7-40F4-9C14-794A90F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7B23"/>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Titre2">
    <w:name w:val="heading 2"/>
    <w:basedOn w:val="Normal"/>
    <w:next w:val="Normal"/>
    <w:link w:val="Titre2Car"/>
    <w:uiPriority w:val="9"/>
    <w:semiHidden/>
    <w:unhideWhenUsed/>
    <w:qFormat/>
    <w:rsid w:val="005F7B23"/>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5F7B23"/>
    <w:pPr>
      <w:keepNext/>
      <w:keepLines/>
      <w:spacing w:before="160" w:after="80"/>
      <w:outlineLvl w:val="2"/>
    </w:pPr>
    <w:rPr>
      <w:rFonts w:eastAsiaTheme="majorEastAsia"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5F7B23"/>
    <w:pPr>
      <w:keepNext/>
      <w:keepLines/>
      <w:spacing w:before="80" w:after="40"/>
      <w:outlineLvl w:val="3"/>
    </w:pPr>
    <w:rPr>
      <w:rFonts w:eastAsiaTheme="majorEastAsia" w:cstheme="majorBidi"/>
      <w:i/>
      <w:iCs/>
      <w:color w:val="1481AB" w:themeColor="accent1" w:themeShade="BF"/>
    </w:rPr>
  </w:style>
  <w:style w:type="paragraph" w:styleId="Titre5">
    <w:name w:val="heading 5"/>
    <w:basedOn w:val="Normal"/>
    <w:next w:val="Normal"/>
    <w:link w:val="Titre5Car"/>
    <w:uiPriority w:val="9"/>
    <w:semiHidden/>
    <w:unhideWhenUsed/>
    <w:qFormat/>
    <w:rsid w:val="005F7B23"/>
    <w:pPr>
      <w:keepNext/>
      <w:keepLines/>
      <w:spacing w:before="80" w:after="40"/>
      <w:outlineLvl w:val="4"/>
    </w:pPr>
    <w:rPr>
      <w:rFonts w:eastAsiaTheme="majorEastAsia" w:cstheme="majorBidi"/>
      <w:color w:val="1481AB" w:themeColor="accent1" w:themeShade="BF"/>
    </w:rPr>
  </w:style>
  <w:style w:type="paragraph" w:styleId="Titre6">
    <w:name w:val="heading 6"/>
    <w:basedOn w:val="Normal"/>
    <w:next w:val="Normal"/>
    <w:link w:val="Titre6Car"/>
    <w:uiPriority w:val="9"/>
    <w:semiHidden/>
    <w:unhideWhenUsed/>
    <w:qFormat/>
    <w:rsid w:val="005F7B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7B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7B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7B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7B23"/>
    <w:rPr>
      <w:rFonts w:asciiTheme="majorHAnsi" w:eastAsiaTheme="majorEastAsia" w:hAnsiTheme="majorHAnsi" w:cstheme="majorBidi"/>
      <w:color w:val="1481AB" w:themeColor="accent1" w:themeShade="BF"/>
      <w:sz w:val="40"/>
      <w:szCs w:val="40"/>
    </w:rPr>
  </w:style>
  <w:style w:type="character" w:customStyle="1" w:styleId="Titre2Car">
    <w:name w:val="Titre 2 Car"/>
    <w:basedOn w:val="Policepardfaut"/>
    <w:link w:val="Titre2"/>
    <w:uiPriority w:val="9"/>
    <w:semiHidden/>
    <w:rsid w:val="005F7B23"/>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5F7B23"/>
    <w:rPr>
      <w:rFonts w:eastAsiaTheme="majorEastAsia" w:cstheme="majorBidi"/>
      <w:color w:val="1481AB" w:themeColor="accent1" w:themeShade="BF"/>
      <w:sz w:val="28"/>
      <w:szCs w:val="28"/>
    </w:rPr>
  </w:style>
  <w:style w:type="character" w:customStyle="1" w:styleId="Titre4Car">
    <w:name w:val="Titre 4 Car"/>
    <w:basedOn w:val="Policepardfaut"/>
    <w:link w:val="Titre4"/>
    <w:uiPriority w:val="9"/>
    <w:semiHidden/>
    <w:rsid w:val="005F7B23"/>
    <w:rPr>
      <w:rFonts w:eastAsiaTheme="majorEastAsia" w:cstheme="majorBidi"/>
      <w:i/>
      <w:iCs/>
      <w:color w:val="1481AB" w:themeColor="accent1" w:themeShade="BF"/>
    </w:rPr>
  </w:style>
  <w:style w:type="character" w:customStyle="1" w:styleId="Titre5Car">
    <w:name w:val="Titre 5 Car"/>
    <w:basedOn w:val="Policepardfaut"/>
    <w:link w:val="Titre5"/>
    <w:uiPriority w:val="9"/>
    <w:semiHidden/>
    <w:rsid w:val="005F7B23"/>
    <w:rPr>
      <w:rFonts w:eastAsiaTheme="majorEastAsia" w:cstheme="majorBidi"/>
      <w:color w:val="1481AB" w:themeColor="accent1" w:themeShade="BF"/>
    </w:rPr>
  </w:style>
  <w:style w:type="character" w:customStyle="1" w:styleId="Titre6Car">
    <w:name w:val="Titre 6 Car"/>
    <w:basedOn w:val="Policepardfaut"/>
    <w:link w:val="Titre6"/>
    <w:uiPriority w:val="9"/>
    <w:semiHidden/>
    <w:rsid w:val="005F7B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7B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7B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7B23"/>
    <w:rPr>
      <w:rFonts w:eastAsiaTheme="majorEastAsia" w:cstheme="majorBidi"/>
      <w:color w:val="272727" w:themeColor="text1" w:themeTint="D8"/>
    </w:rPr>
  </w:style>
  <w:style w:type="paragraph" w:styleId="Titre">
    <w:name w:val="Title"/>
    <w:basedOn w:val="Normal"/>
    <w:next w:val="Normal"/>
    <w:link w:val="TitreCar"/>
    <w:uiPriority w:val="10"/>
    <w:qFormat/>
    <w:rsid w:val="005F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7B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7B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7B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7B23"/>
    <w:pPr>
      <w:spacing w:before="160"/>
      <w:jc w:val="center"/>
    </w:pPr>
    <w:rPr>
      <w:i/>
      <w:iCs/>
      <w:color w:val="404040" w:themeColor="text1" w:themeTint="BF"/>
    </w:rPr>
  </w:style>
  <w:style w:type="character" w:customStyle="1" w:styleId="CitationCar">
    <w:name w:val="Citation Car"/>
    <w:basedOn w:val="Policepardfaut"/>
    <w:link w:val="Citation"/>
    <w:uiPriority w:val="29"/>
    <w:rsid w:val="005F7B23"/>
    <w:rPr>
      <w:i/>
      <w:iCs/>
      <w:color w:val="404040" w:themeColor="text1" w:themeTint="BF"/>
    </w:rPr>
  </w:style>
  <w:style w:type="paragraph" w:styleId="Paragraphedeliste">
    <w:name w:val="List Paragraph"/>
    <w:basedOn w:val="Normal"/>
    <w:uiPriority w:val="34"/>
    <w:qFormat/>
    <w:rsid w:val="005F7B23"/>
    <w:pPr>
      <w:ind w:left="720"/>
      <w:contextualSpacing/>
    </w:pPr>
  </w:style>
  <w:style w:type="character" w:styleId="Accentuationintense">
    <w:name w:val="Intense Emphasis"/>
    <w:basedOn w:val="Policepardfaut"/>
    <w:uiPriority w:val="21"/>
    <w:qFormat/>
    <w:rsid w:val="005F7B23"/>
    <w:rPr>
      <w:i/>
      <w:iCs/>
      <w:color w:val="1481AB" w:themeColor="accent1" w:themeShade="BF"/>
    </w:rPr>
  </w:style>
  <w:style w:type="paragraph" w:styleId="Citationintense">
    <w:name w:val="Intense Quote"/>
    <w:basedOn w:val="Normal"/>
    <w:next w:val="Normal"/>
    <w:link w:val="CitationintenseCar"/>
    <w:uiPriority w:val="30"/>
    <w:qFormat/>
    <w:rsid w:val="005F7B23"/>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CitationintenseCar">
    <w:name w:val="Citation intense Car"/>
    <w:basedOn w:val="Policepardfaut"/>
    <w:link w:val="Citationintense"/>
    <w:uiPriority w:val="30"/>
    <w:rsid w:val="005F7B23"/>
    <w:rPr>
      <w:i/>
      <w:iCs/>
      <w:color w:val="1481AB" w:themeColor="accent1" w:themeShade="BF"/>
    </w:rPr>
  </w:style>
  <w:style w:type="character" w:styleId="Rfrenceintense">
    <w:name w:val="Intense Reference"/>
    <w:basedOn w:val="Policepardfaut"/>
    <w:uiPriority w:val="32"/>
    <w:qFormat/>
    <w:rsid w:val="005F7B23"/>
    <w:rPr>
      <w:b/>
      <w:bCs/>
      <w:smallCaps/>
      <w:color w:val="1481AB" w:themeColor="accent1" w:themeShade="BF"/>
      <w:spacing w:val="5"/>
    </w:rPr>
  </w:style>
  <w:style w:type="paragraph" w:styleId="En-tte">
    <w:name w:val="header"/>
    <w:basedOn w:val="Normal"/>
    <w:link w:val="En-tteCar"/>
    <w:uiPriority w:val="99"/>
    <w:unhideWhenUsed/>
    <w:rsid w:val="00BE1E48"/>
    <w:pPr>
      <w:tabs>
        <w:tab w:val="center" w:pos="4536"/>
        <w:tab w:val="right" w:pos="9072"/>
      </w:tabs>
      <w:spacing w:after="0" w:line="240" w:lineRule="auto"/>
    </w:pPr>
  </w:style>
  <w:style w:type="character" w:customStyle="1" w:styleId="En-tteCar">
    <w:name w:val="En-tête Car"/>
    <w:basedOn w:val="Policepardfaut"/>
    <w:link w:val="En-tte"/>
    <w:uiPriority w:val="99"/>
    <w:rsid w:val="00BE1E48"/>
  </w:style>
  <w:style w:type="paragraph" w:styleId="Pieddepage">
    <w:name w:val="footer"/>
    <w:basedOn w:val="Normal"/>
    <w:link w:val="PieddepageCar"/>
    <w:uiPriority w:val="99"/>
    <w:unhideWhenUsed/>
    <w:rsid w:val="00BE1E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E48"/>
  </w:style>
  <w:style w:type="table" w:styleId="Grilledutableau">
    <w:name w:val="Table Grid"/>
    <w:basedOn w:val="TableauNormal"/>
    <w:uiPriority w:val="39"/>
    <w:rsid w:val="00B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1E48"/>
    <w:rPr>
      <w:color w:val="6B9F25" w:themeColor="hyperlink"/>
      <w:u w:val="single"/>
    </w:rPr>
  </w:style>
  <w:style w:type="character" w:styleId="Mentionnonrsolue">
    <w:name w:val="Unresolved Mention"/>
    <w:basedOn w:val="Policepardfaut"/>
    <w:uiPriority w:val="99"/>
    <w:semiHidden/>
    <w:unhideWhenUsed/>
    <w:rsid w:val="00BE1E48"/>
    <w:rPr>
      <w:color w:val="605E5C"/>
      <w:shd w:val="clear" w:color="auto" w:fill="E1DFDD"/>
    </w:rPr>
  </w:style>
  <w:style w:type="paragraph" w:styleId="Sansinterligne">
    <w:name w:val="No Spacing"/>
    <w:uiPriority w:val="1"/>
    <w:qFormat/>
    <w:rsid w:val="00F82916"/>
    <w:pPr>
      <w:spacing w:after="0" w:line="240" w:lineRule="auto"/>
    </w:pPr>
  </w:style>
  <w:style w:type="paragraph" w:styleId="Rvision">
    <w:name w:val="Revision"/>
    <w:hidden/>
    <w:uiPriority w:val="99"/>
    <w:semiHidden/>
    <w:rsid w:val="00396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873</Words>
  <Characters>4804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Moez HADIDANE</dc:creator>
  <cp:keywords/>
  <dc:description/>
  <cp:lastModifiedBy>Solène Kennis</cp:lastModifiedBy>
  <cp:revision>7</cp:revision>
  <cp:lastPrinted>2024-06-21T12:25:00Z</cp:lastPrinted>
  <dcterms:created xsi:type="dcterms:W3CDTF">2024-07-03T09:52:00Z</dcterms:created>
  <dcterms:modified xsi:type="dcterms:W3CDTF">2024-07-08T16:37:00Z</dcterms:modified>
</cp:coreProperties>
</file>